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w:pict>
          <v:shape id="文本框 299" o:spid="_x0000_s1027" o:spt="202" type="#_x0000_t202" style="position:absolute;left:0pt;margin-left:45.7pt;margin-top:-3.3pt;height:46.8pt;width:294.8pt;z-index:251659264;mso-width-relative:margin;mso-height-relative:margin;" stroked="t" coordsize="21600,21600">
            <v:path/>
            <v:fill focussize="0,0"/>
            <v:stroke color="#FFFFFF" joinstyle="miter"/>
            <v:imagedata o:title=""/>
            <o:lock v:ext="edit"/>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asciiTheme="minorEastAsia" w:hAnsiTheme="minorEastAsia" w:eastAsiaTheme="minorEastAsia"/>
          <w:b/>
          <w:snapToGrid w:val="0"/>
          <w:kern w:val="0"/>
          <w:sz w:val="72"/>
          <w:szCs w:val="72"/>
        </w:rPr>
      </w:pPr>
      <w:r>
        <w:rPr>
          <w:rFonts w:hint="eastAsia" w:asciiTheme="minorEastAsia" w:hAnsiTheme="minorEastAsia" w:eastAsiaTheme="minorEastAsia"/>
          <w:b/>
          <w:bCs/>
          <w:snapToGrid w:val="0"/>
          <w:kern w:val="0"/>
          <w:sz w:val="72"/>
          <w:szCs w:val="72"/>
        </w:rPr>
        <w:t>制样及质量管理辅助服务项目</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服务类招标文件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项目编号：SZZZ2024-QC0056</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pPr>
      <w:r>
        <w:rPr>
          <w:rFonts w:eastAsia="经典标宋简"/>
          <w:b/>
          <w:snapToGrid w:val="0"/>
          <w:kern w:val="0"/>
          <w:sz w:val="44"/>
        </w:rPr>
        <w:t xml:space="preserve"> </w:t>
      </w:r>
    </w:p>
    <w:p/>
    <w:p/>
    <w:p/>
    <w:p/>
    <w:p/>
    <w:p/>
    <w:p>
      <w:pPr>
        <w:pStyle w:val="28"/>
        <w:adjustRightInd w:val="0"/>
        <w:snapToGrid w:val="0"/>
        <w:spacing w:line="300" w:lineRule="auto"/>
        <w:ind w:hanging="835"/>
        <w:jc w:val="center"/>
        <w:rPr>
          <w:b/>
          <w:kern w:val="0"/>
          <w:sz w:val="28"/>
          <w:szCs w:val="28"/>
        </w:rPr>
      </w:pPr>
      <w:r>
        <w:rPr>
          <w:rFonts w:hint="eastAsia"/>
          <w:b/>
          <w:snapToGrid w:val="0"/>
          <w:sz w:val="30"/>
        </w:rPr>
        <w:t>二〇二四年二月</w:t>
      </w:r>
    </w:p>
    <w:p/>
    <w:p/>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w:t>
      </w:r>
    </w:p>
    <w:p>
      <w:pPr>
        <w:spacing w:line="440" w:lineRule="exact"/>
        <w:ind w:firstLine="480" w:firstLineChars="200"/>
        <w:rPr>
          <w:rFonts w:ascii="仿宋" w:hAnsi="仿宋" w:eastAsia="仿宋"/>
          <w:sz w:val="24"/>
        </w:rPr>
      </w:pPr>
      <w:r>
        <w:rPr>
          <w:rFonts w:hint="eastAsia" w:ascii="仿宋" w:hAnsi="仿宋" w:eastAsia="仿宋"/>
          <w:sz w:val="24"/>
        </w:rPr>
        <w:t>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第七十九条 供应商有下列情形的，属于采购条例所称的串通投标行为，按照采购条例第五十七条有关规定处理：</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（一）投标供应商之间相互约定给予未中标的供应商利益补偿；</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（三）不同投标供应商的投标文件由同一单位或者同一人编制，或者由同一人分阶段参与编制的；</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（四）不同投标供应商的投标文件或部分投标文件相互混装；</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（五）不同投标供应商的投标文件内容存在非正常一致；</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（六）由同一单位工作人员为两家以上（含两家）供应商进行同一项投标活动的；</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sdt>
      <w:sdtPr>
        <w:rPr>
          <w:rFonts w:ascii="Times New Roman" w:hAnsi="Times New Roman" w:eastAsia="宋体" w:cs="Times New Roman"/>
          <w:b w:val="0"/>
          <w:bCs w:val="0"/>
          <w:iCs/>
          <w:smallCaps/>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iCs w:val="0"/>
          <w:smallCaps/>
          <w:color w:val="auto"/>
          <w:kern w:val="2"/>
          <w:sz w:val="21"/>
          <w:szCs w:val="24"/>
          <w:lang w:val="en-US"/>
        </w:rPr>
      </w:sdtEndPr>
      <w:sdtContent>
        <w:p>
          <w:pPr>
            <w:pStyle w:val="504"/>
            <w:jc w:val="center"/>
            <w:rPr>
              <w:rFonts w:ascii="Times New Roman" w:hAnsi="Times New Roman" w:eastAsia="宋体" w:cs="Times New Roman"/>
              <w:b w:val="0"/>
              <w:bCs w:val="0"/>
              <w:iCs/>
              <w:smallCaps/>
              <w:color w:val="auto"/>
              <w:kern w:val="2"/>
              <w:sz w:val="21"/>
              <w:szCs w:val="24"/>
              <w:lang w:val="zh-CN"/>
            </w:rPr>
          </w:pPr>
        </w:p>
        <w:p>
          <w:pPr>
            <w:pStyle w:val="504"/>
            <w:jc w:val="center"/>
            <w:rPr>
              <w:rFonts w:ascii="Times New Roman" w:hAnsi="Times New Roman" w:eastAsia="宋体" w:cs="Times New Roman"/>
              <w:b w:val="0"/>
              <w:bCs w:val="0"/>
              <w:iCs/>
              <w:smallCaps/>
              <w:color w:val="auto"/>
              <w:kern w:val="2"/>
              <w:sz w:val="21"/>
              <w:szCs w:val="24"/>
              <w:lang w:val="zh-CN"/>
            </w:rPr>
          </w:pPr>
          <w:r>
            <w:rPr>
              <w:color w:val="000000" w:themeColor="text1"/>
              <w:lang w:val="zh-CN"/>
            </w:rPr>
            <w:t>目</w:t>
          </w:r>
          <w:r>
            <w:rPr>
              <w:rFonts w:hint="eastAsia"/>
              <w:color w:val="000000" w:themeColor="text1"/>
              <w:lang w:val="zh-CN"/>
            </w:rPr>
            <w:t xml:space="preserve">  </w:t>
          </w:r>
          <w:r>
            <w:rPr>
              <w:color w:val="000000" w:themeColor="text1"/>
              <w:lang w:val="zh-CN"/>
            </w:rPr>
            <w:t>录</w:t>
          </w:r>
        </w:p>
        <w:p>
          <w:pPr>
            <w:pStyle w:val="34"/>
            <w:tabs>
              <w:tab w:val="right" w:leader="dot" w:pos="9628"/>
            </w:tabs>
            <w:rPr>
              <w:rFonts w:ascii="仿宋_GB2312" w:eastAsia="仿宋_GB2312"/>
              <w:sz w:val="24"/>
            </w:rPr>
          </w:pPr>
        </w:p>
        <w:p>
          <w:pPr>
            <w:pStyle w:val="34"/>
            <w:tabs>
              <w:tab w:val="right" w:leader="dot" w:pos="9628"/>
            </w:tabs>
            <w:rPr>
              <w:rFonts w:ascii="仿宋_GB2312" w:eastAsia="仿宋_GB2312" w:hAnsiTheme="minorHAnsi" w:cstheme="minorBidi"/>
              <w:b w:val="0"/>
              <w:bCs w:val="0"/>
              <w:caps w:val="0"/>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"_Toc135293159"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_Toc135293159 \h </w:instrText>
          </w:r>
          <w:r>
            <w:rPr>
              <w:rFonts w:hint="eastAsia" w:ascii="仿宋_GB2312" w:eastAsia="仿宋_GB2312"/>
              <w:sz w:val="24"/>
            </w:rPr>
            <w:fldChar w:fldCharType="separate"/>
          </w:r>
          <w:r>
            <w:rPr>
              <w:rFonts w:hint="eastAsia" w:ascii="仿宋_GB2312" w:eastAsia="仿宋_GB2312"/>
              <w:sz w:val="24"/>
            </w:rPr>
            <w:t>6</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"_Toc135293160"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_Toc135293160 \h </w:instrText>
          </w:r>
          <w:r>
            <w:rPr>
              <w:rFonts w:hint="eastAsia" w:ascii="仿宋_GB2312" w:eastAsia="仿宋_GB2312"/>
              <w:sz w:val="24"/>
            </w:rPr>
            <w:fldChar w:fldCharType="separate"/>
          </w:r>
          <w:r>
            <w:rPr>
              <w:rFonts w:hint="eastAsia" w:ascii="仿宋_GB2312" w:eastAsia="仿宋_GB2312"/>
              <w:sz w:val="24"/>
            </w:rPr>
            <w:t>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"_Toc135293161"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_Toc135293161 \h </w:instrText>
          </w:r>
          <w:r>
            <w:rPr>
              <w:rFonts w:hint="eastAsia" w:ascii="仿宋_GB2312" w:eastAsia="仿宋_GB2312"/>
              <w:sz w:val="24"/>
            </w:rPr>
            <w:fldChar w:fldCharType="separate"/>
          </w:r>
          <w:r>
            <w:rPr>
              <w:rFonts w:hint="eastAsia" w:ascii="仿宋_GB2312" w:eastAsia="仿宋_GB2312"/>
              <w:sz w:val="24"/>
            </w:rPr>
            <w:t>11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"_Toc135293162"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_Toc135293162 \h </w:instrText>
          </w:r>
          <w:r>
            <w:rPr>
              <w:rFonts w:hint="eastAsia" w:ascii="仿宋_GB2312" w:eastAsia="仿宋_GB2312"/>
              <w:sz w:val="24"/>
            </w:rPr>
            <w:fldChar w:fldCharType="separate"/>
          </w:r>
          <w:r>
            <w:rPr>
              <w:rFonts w:hint="eastAsia"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"_Toc135293163"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_Toc135293163 \h </w:instrText>
          </w:r>
          <w:r>
            <w:rPr>
              <w:rFonts w:hint="eastAsia" w:ascii="仿宋_GB2312" w:eastAsia="仿宋_GB2312"/>
              <w:sz w:val="24"/>
            </w:rPr>
            <w:fldChar w:fldCharType="separate"/>
          </w:r>
          <w:r>
            <w:rPr>
              <w:rFonts w:hint="eastAsia"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"_Toc135293164"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_Toc135293164 \h </w:instrText>
          </w:r>
          <w:r>
            <w:rPr>
              <w:rFonts w:hint="eastAsia" w:ascii="仿宋_GB2312" w:eastAsia="仿宋_GB2312"/>
              <w:sz w:val="24"/>
            </w:rPr>
            <w:fldChar w:fldCharType="separate"/>
          </w:r>
          <w:r>
            <w:rPr>
              <w:rFonts w:hint="eastAsia"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"_Toc135293165"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_Toc135293165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rPr>
              <w:rFonts w:ascii="仿宋_GB2312" w:eastAsia="仿宋_GB2312" w:hAnsiTheme="minorHAnsi" w:cstheme="minorBidi"/>
              <w:iCs w:val="0"/>
              <w:sz w:val="24"/>
            </w:rPr>
          </w:pPr>
          <w:r>
            <w:fldChar w:fldCharType="begin"/>
          </w:r>
          <w:r>
            <w:instrText xml:space="preserve"> HYPERLINK \l "_Toc135293166"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_Toc135293166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rPr>
              <w:rFonts w:ascii="仿宋_GB2312" w:eastAsia="仿宋_GB2312" w:hAnsiTheme="minorHAnsi" w:cstheme="minorBidi"/>
              <w:iCs w:val="0"/>
              <w:sz w:val="24"/>
            </w:rPr>
          </w:pPr>
          <w:r>
            <w:fldChar w:fldCharType="begin"/>
          </w:r>
          <w:r>
            <w:instrText xml:space="preserve"> HYPERLINK \l "_Toc135293167" </w:instrText>
          </w:r>
          <w:r>
            <w:fldChar w:fldCharType="separate"/>
          </w:r>
          <w:r>
            <w:rPr>
              <w:rStyle w:val="57"/>
              <w:rFonts w:hint="eastAsia" w:ascii="仿宋_GB2312" w:eastAsia="仿宋_GB2312" w:hAnsiTheme="minorEastAsia"/>
              <w:sz w:val="24"/>
            </w:rPr>
            <w:t>2、政府采购扶持政策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_Toc135293167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"_Toc135293168"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_Toc135293168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"_Toc135293169"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_Toc135293169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"_Toc135293170"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_Toc135293170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"_Toc135293171"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_Toc135293171 \h </w:instrText>
          </w:r>
          <w:r>
            <w:rPr>
              <w:rFonts w:hint="eastAsia" w:ascii="仿宋_GB2312" w:eastAsia="仿宋_GB2312"/>
              <w:sz w:val="24"/>
            </w:rPr>
            <w:fldChar w:fldCharType="separate"/>
          </w:r>
          <w:r>
            <w:rPr>
              <w:rFonts w:hint="eastAsia"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"_Toc135293172"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_Toc135293172 \h </w:instrText>
          </w:r>
          <w:r>
            <w:rPr>
              <w:rFonts w:hint="eastAsia" w:ascii="仿宋_GB2312" w:eastAsia="仿宋_GB2312"/>
              <w:sz w:val="24"/>
            </w:rPr>
            <w:fldChar w:fldCharType="separate"/>
          </w:r>
          <w:r>
            <w:rPr>
              <w:rFonts w:hint="eastAsia"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"_Toc135293173"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_Toc135293173 \h </w:instrText>
          </w:r>
          <w:r>
            <w:rPr>
              <w:rFonts w:hint="eastAsia" w:ascii="仿宋_GB2312" w:eastAsia="仿宋_GB2312"/>
              <w:sz w:val="24"/>
            </w:rPr>
            <w:fldChar w:fldCharType="separate"/>
          </w:r>
          <w:r>
            <w:rPr>
              <w:rFonts w:hint="eastAsia" w:ascii="仿宋_GB2312" w:eastAsia="仿宋_GB2312"/>
              <w:sz w:val="24"/>
            </w:rPr>
            <w:t>27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"_Toc135293174"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_Toc135293174 \h </w:instrText>
          </w:r>
          <w:r>
            <w:rPr>
              <w:rFonts w:hint="eastAsia" w:ascii="仿宋_GB2312" w:eastAsia="仿宋_GB2312"/>
              <w:sz w:val="24"/>
            </w:rPr>
            <w:fldChar w:fldCharType="separate"/>
          </w:r>
          <w:r>
            <w:rPr>
              <w:rFonts w:hint="eastAsia" w:ascii="仿宋_GB2312" w:eastAsia="仿宋_GB2312"/>
              <w:sz w:val="24"/>
            </w:rPr>
            <w:t>29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"_Toc135293175"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_Toc135293175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"_Toc135293176" </w:instrText>
          </w:r>
          <w:r>
            <w:fldChar w:fldCharType="separate"/>
          </w:r>
          <w:r>
            <w:rPr>
              <w:rStyle w:val="57"/>
              <w:rFonts w:hint="eastAsia" w:ascii="仿宋_GB2312" w:eastAsia="仿宋_GB2312"/>
              <w:sz w:val="24"/>
            </w:rPr>
            <w:t>七、质疑处理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_Toc135293176 \h </w:instrText>
          </w:r>
          <w:r>
            <w:rPr>
              <w:rFonts w:hint="eastAsia" w:ascii="仿宋_GB2312" w:eastAsia="仿宋_GB2312"/>
              <w:sz w:val="24"/>
            </w:rPr>
            <w:fldChar w:fldCharType="separate"/>
          </w:r>
          <w:r>
            <w:rPr>
              <w:rFonts w:hint="eastAsia" w:ascii="仿宋_GB2312" w:eastAsia="仿宋_GB2312"/>
              <w:sz w:val="24"/>
            </w:rPr>
            <w:t>32</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"_Toc135293177"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_Toc135293177 \h </w:instrText>
          </w:r>
          <w:r>
            <w:rPr>
              <w:rFonts w:hint="eastAsia" w:ascii="仿宋_GB2312" w:eastAsia="仿宋_GB2312"/>
              <w:sz w:val="24"/>
            </w:rPr>
            <w:fldChar w:fldCharType="separate"/>
          </w:r>
          <w:r>
            <w:rPr>
              <w:rFonts w:hint="eastAsia"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"_Toc135293178"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_Toc135293178 \h </w:instrText>
          </w:r>
          <w:r>
            <w:rPr>
              <w:rFonts w:hint="eastAsia" w:ascii="仿宋_GB2312" w:eastAsia="仿宋_GB2312"/>
              <w:sz w:val="24"/>
            </w:rPr>
            <w:fldChar w:fldCharType="separate"/>
          </w:r>
          <w:r>
            <w:rPr>
              <w:rFonts w:hint="eastAsia"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"_Toc135293179"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_Toc135293179 \h </w:instrText>
          </w:r>
          <w:r>
            <w:rPr>
              <w:rFonts w:hint="eastAsia" w:ascii="仿宋_GB2312" w:eastAsia="仿宋_GB2312"/>
              <w:sz w:val="24"/>
            </w:rPr>
            <w:fldChar w:fldCharType="separate"/>
          </w:r>
          <w:r>
            <w:rPr>
              <w:rFonts w:hint="eastAsia" w:ascii="仿宋_GB2312" w:eastAsia="仿宋_GB2312"/>
              <w:sz w:val="24"/>
            </w:rPr>
            <w:t>37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"_Toc135293180" </w:instrText>
          </w:r>
          <w:r>
            <w:fldChar w:fldCharType="separate"/>
          </w:r>
          <w:r>
            <w:rPr>
              <w:rStyle w:val="57"/>
              <w:rFonts w:hint="eastAsia" w:ascii="仿宋_GB2312" w:hAnsi="仿宋" w:eastAsia="仿宋_GB2312"/>
              <w:sz w:val="24"/>
            </w:rPr>
            <w:t>政府采购违法行为风险知悉确认书</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_Toc135293180 \h </w:instrText>
          </w:r>
          <w:r>
            <w:rPr>
              <w:rFonts w:hint="eastAsia" w:ascii="仿宋_GB2312" w:eastAsia="仿宋_GB2312"/>
              <w:sz w:val="24"/>
            </w:rPr>
            <w:fldChar w:fldCharType="separate"/>
          </w:r>
          <w:r>
            <w:rPr>
              <w:rFonts w:hint="eastAsia" w:ascii="仿宋_GB2312" w:eastAsia="仿宋_GB2312"/>
              <w:sz w:val="24"/>
            </w:rPr>
            <w:t>38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"_Toc135293181" </w:instrText>
          </w:r>
          <w:r>
            <w:fldChar w:fldCharType="separate"/>
          </w:r>
          <w:r>
            <w:rPr>
              <w:rStyle w:val="57"/>
              <w:rFonts w:hint="eastAsia" w:ascii="仿宋_GB2312" w:hAnsi="仿宋" w:eastAsia="仿宋_GB2312"/>
              <w:sz w:val="24"/>
            </w:rPr>
            <w:t>评标指引表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_Toc135293181 \h </w:instrText>
          </w:r>
          <w:r>
            <w:rPr>
              <w:rFonts w:hint="eastAsia" w:ascii="仿宋_GB2312" w:eastAsia="仿宋_GB2312"/>
              <w:sz w:val="24"/>
            </w:rPr>
            <w:fldChar w:fldCharType="separate"/>
          </w:r>
          <w:r>
            <w:rPr>
              <w:rFonts w:hint="eastAsia" w:ascii="仿宋_GB2312" w:eastAsia="仿宋_GB2312"/>
              <w:sz w:val="24"/>
            </w:rPr>
            <w:t>40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"_Toc135293192"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_Toc135293192 \h </w:instrText>
          </w:r>
          <w:r>
            <w:rPr>
              <w:rFonts w:hint="eastAsia" w:ascii="仿宋_GB2312" w:eastAsia="仿宋_GB2312"/>
              <w:sz w:val="24"/>
            </w:rPr>
            <w:fldChar w:fldCharType="separate"/>
          </w:r>
          <w:r>
            <w:rPr>
              <w:rFonts w:hint="eastAsia" w:ascii="仿宋_GB2312" w:eastAsia="仿宋_GB2312"/>
              <w:sz w:val="24"/>
            </w:rPr>
            <w:t>59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"_Toc135293193"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_Toc135293193 \h </w:instrText>
          </w:r>
          <w:r>
            <w:rPr>
              <w:rFonts w:hint="eastAsia" w:ascii="仿宋_GB2312" w:eastAsia="仿宋_GB2312"/>
              <w:sz w:val="24"/>
            </w:rPr>
            <w:fldChar w:fldCharType="separate"/>
          </w:r>
          <w:r>
            <w:rPr>
              <w:rFonts w:hint="eastAsia" w:ascii="仿宋_GB2312" w:eastAsia="仿宋_GB2312"/>
              <w:sz w:val="24"/>
            </w:rPr>
            <w:t>62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"_Toc135293194"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_Toc135293194 \h </w:instrText>
          </w:r>
          <w:r>
            <w:rPr>
              <w:rFonts w:hint="eastAsia" w:ascii="仿宋_GB2312" w:eastAsia="仿宋_GB2312"/>
              <w:sz w:val="24"/>
            </w:rPr>
            <w:fldChar w:fldCharType="separate"/>
          </w:r>
          <w:r>
            <w:rPr>
              <w:rFonts w:hint="eastAsia" w:ascii="仿宋_GB2312" w:eastAsia="仿宋_GB2312"/>
              <w:sz w:val="24"/>
            </w:rPr>
            <w:t>62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"_Toc135293195"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_Toc135293195 \h </w:instrText>
          </w:r>
          <w:r>
            <w:rPr>
              <w:rFonts w:hint="eastAsia" w:ascii="仿宋_GB2312" w:eastAsia="仿宋_GB2312"/>
              <w:sz w:val="24"/>
            </w:rPr>
            <w:fldChar w:fldCharType="separate"/>
          </w:r>
          <w:r>
            <w:rPr>
              <w:rFonts w:hint="eastAsia" w:ascii="仿宋_GB2312" w:eastAsia="仿宋_GB2312"/>
              <w:sz w:val="24"/>
            </w:rPr>
            <w:t>66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"_Toc135293196" </w:instrText>
          </w:r>
          <w:r>
            <w:fldChar w:fldCharType="separate"/>
          </w:r>
          <w:r>
            <w:rPr>
              <w:rStyle w:val="57"/>
              <w:rFonts w:hint="eastAsia" w:ascii="仿宋_GB2312" w:eastAsia="仿宋_GB2312"/>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_Toc135293196 \h </w:instrText>
          </w:r>
          <w:r>
            <w:rPr>
              <w:rFonts w:hint="eastAsia" w:ascii="仿宋_GB2312" w:eastAsia="仿宋_GB2312"/>
              <w:sz w:val="24"/>
            </w:rPr>
            <w:fldChar w:fldCharType="separate"/>
          </w:r>
          <w:r>
            <w:rPr>
              <w:rFonts w:hint="eastAsia" w:ascii="仿宋_GB2312" w:eastAsia="仿宋_GB2312"/>
              <w:sz w:val="24"/>
            </w:rPr>
            <w:t>69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"_Toc135293197"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_Toc135293197 \h </w:instrText>
          </w:r>
          <w:r>
            <w:rPr>
              <w:rFonts w:hint="eastAsia" w:ascii="仿宋_GB2312" w:eastAsia="仿宋_GB2312"/>
              <w:sz w:val="24"/>
            </w:rPr>
            <w:fldChar w:fldCharType="separate"/>
          </w:r>
          <w:r>
            <w:rPr>
              <w:rFonts w:hint="eastAsia" w:ascii="仿宋_GB2312" w:eastAsia="仿宋_GB2312"/>
              <w:sz w:val="24"/>
            </w:rPr>
            <w:t>72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"_Toc135293198" </w:instrText>
          </w:r>
          <w:r>
            <w:fldChar w:fldCharType="separate"/>
          </w:r>
          <w:r>
            <w:rPr>
              <w:rStyle w:val="57"/>
              <w:rFonts w:hint="eastAsia" w:ascii="仿宋_GB2312" w:eastAsia="仿宋_GB2312"/>
              <w:sz w:val="24"/>
            </w:rPr>
            <w:t>五、财政部 司法部关于政府采购支持监狱企业发展有关问题的通知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_Toc135293198 \h </w:instrText>
          </w:r>
          <w:r>
            <w:rPr>
              <w:rFonts w:hint="eastAsia" w:ascii="仿宋_GB2312" w:eastAsia="仿宋_GB2312"/>
              <w:sz w:val="24"/>
            </w:rPr>
            <w:fldChar w:fldCharType="separate"/>
          </w:r>
          <w:r>
            <w:rPr>
              <w:rFonts w:hint="eastAsia" w:ascii="仿宋_GB2312" w:eastAsia="仿宋_GB2312"/>
              <w:sz w:val="24"/>
            </w:rPr>
            <w:t>74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pPr>
          <w:r>
            <w:rPr>
              <w:rFonts w:hint="eastAsia" w:ascii="仿宋_GB2312" w:eastAsia="仿宋_GB2312"/>
              <w:sz w:val="24"/>
            </w:rPr>
            <w:fldChar w:fldCharType="end"/>
          </w:r>
        </w:p>
      </w:sdtContent>
    </w:sdt>
    <w:p/>
    <w:p/>
    <w:p/>
    <w:p/>
    <w:p>
      <w:pPr>
        <w:pStyle w:val="2"/>
      </w:pPr>
      <w:bookmarkStart w:id="0" w:name="_Toc135293159"/>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lang w:eastAsia="zh-CN"/>
        </w:rPr>
        <w:t>制样及质量管理辅助服务项目</w:t>
      </w:r>
      <w:r>
        <w:rPr>
          <w:rFonts w:hint="eastAsia" w:ascii="宋体" w:hAnsi="宋体" w:cs="Arial Unicode MS"/>
          <w:snapToGrid w:val="0"/>
          <w:kern w:val="0"/>
          <w:szCs w:val="21"/>
        </w:rPr>
        <w:t>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2024年</w:t>
      </w:r>
      <w:r>
        <w:rPr>
          <w:rFonts w:hint="eastAsia" w:ascii="宋体" w:hAnsi="宋体" w:cs="Arial Unicode MS"/>
          <w:snapToGrid w:val="0"/>
          <w:kern w:val="0"/>
          <w:szCs w:val="21"/>
          <w:u w:val="single"/>
          <w:lang w:val="en-US" w:eastAsia="zh-CN"/>
        </w:rPr>
        <w:t>03</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11</w:t>
      </w:r>
      <w:r>
        <w:rPr>
          <w:rFonts w:hint="eastAsia" w:ascii="宋体" w:hAnsi="宋体" w:cs="Arial Unicode MS"/>
          <w:snapToGrid w:val="0"/>
          <w:kern w:val="0"/>
          <w:szCs w:val="21"/>
          <w:u w:val="single"/>
        </w:rPr>
        <w:t>日</w:t>
      </w:r>
      <w:r>
        <w:rPr>
          <w:rFonts w:hint="eastAsia" w:ascii="宋体" w:hAnsi="宋体" w:cs="Arial Unicode MS"/>
          <w:snapToGrid w:val="0"/>
          <w:kern w:val="0"/>
          <w:szCs w:val="21"/>
          <w:u w:val="single"/>
          <w:lang w:val="en-US" w:eastAsia="zh-CN"/>
        </w:rPr>
        <w:t>10</w:t>
      </w:r>
      <w:r>
        <w:rPr>
          <w:rFonts w:hint="eastAsia" w:ascii="宋体" w:hAnsi="宋体" w:cs="Arial Unicode MS"/>
          <w:snapToGrid w:val="0"/>
          <w:kern w:val="0"/>
          <w:szCs w:val="21"/>
          <w:u w:val="single"/>
        </w:rPr>
        <w:t>点</w:t>
      </w:r>
      <w:r>
        <w:rPr>
          <w:rFonts w:hint="eastAsia" w:ascii="宋体" w:hAnsi="宋体" w:cs="Arial Unicode MS"/>
          <w:snapToGrid w:val="0"/>
          <w:kern w:val="0"/>
          <w:szCs w:val="21"/>
          <w:u w:val="single"/>
          <w:lang w:val="en-US" w:eastAsia="zh-CN"/>
        </w:rPr>
        <w:t>0</w:t>
      </w:r>
      <w:r>
        <w:rPr>
          <w:rFonts w:hint="eastAsia" w:ascii="宋体" w:hAnsi="宋体" w:cs="Arial Unicode MS"/>
          <w:snapToGrid w:val="0"/>
          <w:kern w:val="0"/>
          <w:szCs w:val="21"/>
          <w:u w:val="single"/>
        </w:rPr>
        <w:t>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bookmarkStart w:id="120" w:name="_GoBack"/>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宋体" w:hAnsi="宋体" w:eastAsia="宋体"/>
          <w:snapToGrid w:val="0"/>
          <w:color w:val="auto"/>
          <w:sz w:val="21"/>
        </w:rPr>
        <w:t>SZZZ2024-QC0056</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2、项目名称：制样及质量管理辅助服务项目</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70.6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70.6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682"/>
        <w:gridCol w:w="3287"/>
        <w:gridCol w:w="921"/>
        <w:gridCol w:w="922"/>
        <w:gridCol w:w="269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682"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287" w:type="dxa"/>
            <w:shd w:val="clear" w:color="auto" w:fill="ABCDEF"/>
            <w:vAlign w:val="center"/>
          </w:tcPr>
          <w:p>
            <w:pPr>
              <w:pStyle w:val="45"/>
              <w:spacing w:line="360" w:lineRule="auto"/>
              <w:jc w:val="center"/>
              <w:rPr>
                <w:sz w:val="21"/>
              </w:rPr>
            </w:pPr>
            <w:r>
              <w:rPr>
                <w:sz w:val="21"/>
              </w:rPr>
              <w:t>标的名称</w:t>
            </w:r>
          </w:p>
        </w:tc>
        <w:tc>
          <w:tcPr>
            <w:tcW w:w="921"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922"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2693"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276"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90" w:hRule="atLeast"/>
        </w:trPr>
        <w:tc>
          <w:tcPr>
            <w:tcW w:w="682"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3287" w:type="dxa"/>
            <w:shd w:val="clear" w:color="auto" w:fill="auto"/>
            <w:vAlign w:val="center"/>
          </w:tcPr>
          <w:p>
            <w:pPr>
              <w:pStyle w:val="45"/>
              <w:spacing w:line="360" w:lineRule="auto"/>
              <w:jc w:val="center"/>
              <w:rPr>
                <w:rFonts w:asciiTheme="minorEastAsia" w:hAnsiTheme="minorEastAsia" w:eastAsiaTheme="minorEastAsia"/>
                <w:sz w:val="21"/>
              </w:rPr>
            </w:pPr>
            <w:r>
              <w:rPr>
                <w:rFonts w:hint="eastAsia" w:ascii="宋体" w:hAnsi="宋体" w:eastAsiaTheme="minorEastAsia"/>
                <w:snapToGrid w:val="0"/>
                <w:sz w:val="21"/>
                <w:szCs w:val="21"/>
              </w:rPr>
              <w:t>制样及质量管理辅助服务项目</w:t>
            </w:r>
          </w:p>
        </w:tc>
        <w:tc>
          <w:tcPr>
            <w:tcW w:w="921"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922"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项</w:t>
            </w:r>
          </w:p>
        </w:tc>
        <w:tc>
          <w:tcPr>
            <w:tcW w:w="2693"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276" w:type="dxa"/>
            <w:shd w:val="clear" w:color="auto" w:fill="auto"/>
            <w:vAlign w:val="center"/>
          </w:tcPr>
          <w:p>
            <w:pPr>
              <w:widowControl/>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156"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7、合同履行期限：详见招标文件</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如果是分支机构参与投标，还须同时提供其具有独立法人资格的上级主体出具的</w:t>
      </w:r>
      <w:r>
        <w:rPr>
          <w:rFonts w:hint="eastAsia" w:ascii="宋体" w:hAnsi="宋体" w:eastAsia="宋体"/>
          <w:snapToGrid w:val="0"/>
          <w:color w:val="auto"/>
          <w:sz w:val="21"/>
        </w:rPr>
        <w:t>有效授权书及</w:t>
      </w:r>
      <w:r>
        <w:rPr>
          <w:rFonts w:hint="eastAsia" w:asciiTheme="minorEastAsia" w:hAnsiTheme="minorEastAsia" w:eastAsiaTheme="minorEastAsia"/>
          <w:snapToGrid w:val="0"/>
          <w:color w:val="auto"/>
          <w:sz w:val="21"/>
        </w:rPr>
        <w:t>上级主体的</w:t>
      </w:r>
      <w:r>
        <w:rPr>
          <w:rFonts w:hint="eastAsia" w:ascii="宋体" w:hAnsi="宋体" w:eastAsia="宋体"/>
          <w:snapToGrid w:val="0"/>
          <w:color w:val="auto"/>
          <w:sz w:val="21"/>
        </w:rPr>
        <w:t>营业执照或法人证书等证明材料复印件或扫描件加盖</w:t>
      </w:r>
      <w:r>
        <w:rPr>
          <w:rFonts w:hint="eastAsia" w:asciiTheme="minorEastAsia" w:hAnsiTheme="minorEastAsia" w:eastAsiaTheme="minorEastAsia"/>
          <w:snapToGrid w:val="0"/>
          <w:color w:val="auto"/>
          <w:sz w:val="21"/>
        </w:rPr>
        <w:t>投标人</w:t>
      </w:r>
      <w:r>
        <w:rPr>
          <w:rFonts w:hint="eastAsia" w:ascii="宋体" w:hAnsi="宋体" w:eastAsia="宋体"/>
          <w:snapToGrid w:val="0"/>
          <w:color w:val="auto"/>
          <w:sz w:val="21"/>
        </w:rPr>
        <w:t>公章</w:t>
      </w:r>
      <w:r>
        <w:rPr>
          <w:rFonts w:hint="eastAsia" w:asciiTheme="minorEastAsia" w:hAnsiTheme="minorEastAsia" w:eastAsiaTheme="minorEastAsia"/>
          <w:snapToGrid w:val="0"/>
          <w:color w:val="auto"/>
          <w:sz w:val="21"/>
        </w:rPr>
        <w:t>；</w:t>
      </w:r>
      <w:r>
        <w:rPr>
          <w:rFonts w:hint="eastAsia" w:ascii="宋体" w:hAnsi="宋体" w:eastAsia="宋体"/>
          <w:snapToGrid w:val="0"/>
          <w:color w:val="auto"/>
          <w:sz w:val="21"/>
        </w:rPr>
        <w:t>本项目不接受总公司与分支机构同时参与投标，也不接受同一总公司有两个或以上分支机构参与投标，如出现以上情形，该两家或以上投标人均按无效投标处理。</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w:t>
      </w:r>
      <w:r>
        <w:rPr>
          <w:rFonts w:hint="eastAsia" w:ascii="宋体" w:hAnsi="宋体" w:eastAsia="宋体"/>
          <w:snapToGrid w:val="0"/>
          <w:color w:val="auto"/>
          <w:sz w:val="21"/>
        </w:rPr>
        <w:t>本项目属于专门面向中小微企业采购的项目（提供符合要求的《中小企业声明函》，且供应商属于中型企业、小型企业或微型企业；如供应商为残疾人福利性单位或监狱企业，视同小型、微型企业，提供《残疾人福利性单位声明函》或《监狱企业声明函》及监狱企业证明文件亦视为符合）。</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r>
        <w:rPr>
          <w:rFonts w:asciiTheme="minorEastAsia" w:hAnsiTheme="minorEastAsia" w:eastAsiaTheme="minorEastAsia"/>
          <w:snapToGrid w:val="0"/>
          <w:color w:val="auto"/>
          <w:sz w:val="21"/>
        </w:rPr>
        <w:t xml:space="preserve"> </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（1）参与本项目采购活动前三年内，在经营活动中没有重大违法记录（须按本项目投标文件格式要求提供《政府采购投标及履约承诺函》加盖投标人公章）；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（4）参与本项目政府采购活动不存在与其他采购参加人串通投标，隐瞒真实情况，提供虚假资料等违法违规情形（须按本项目投标文件格式要求提供《政府采购投标及履约承诺函》加盖投标人公章）；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单位负责人为同一人或者存在直接控股、管理关系的不同供应商，不得参加同一合同项下的政府采购活动，采购代理机构通过国家企业信用信息公示系统（https://www.gsxt.gov.cn/index.html）或机关赋码和事业单位登记管理网（http://www.gjsy.gov.cn/sydwfrxxcx/）或全国社会组织信用信息公示平台（https://xxgs.chinanpo.mca.gov.cn/gsxt/newList）网站查询投标人信息，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未被列入失信被执行人、重大税收违法案件当事人名单及政府采购严重违法失信行为记录名单（信用中国网“信用服务”栏的“重大税收违法失信主体”、“失信被执行人”，中国政府采购网“政府采购严重违法失信行为记录名单”，深圳信用网以及深圳市政府采购监管网为投标人信用信息查询渠道，相关信息以开标当日的查询结果为准。由采购代理机构查询，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（7）本项目不接受联合体投标，不允许非法分包或转包。</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2024年02月</w:t>
      </w:r>
      <w:r>
        <w:rPr>
          <w:rFonts w:hint="eastAsia" w:ascii="宋体" w:hAnsi="宋体" w:eastAsia="宋体"/>
          <w:snapToGrid w:val="0"/>
          <w:color w:val="auto"/>
          <w:sz w:val="21"/>
          <w:szCs w:val="21"/>
          <w:u w:val="single"/>
          <w:lang w:val="en-US" w:eastAsia="zh-CN"/>
        </w:rPr>
        <w:t>28</w:t>
      </w:r>
      <w:r>
        <w:rPr>
          <w:rFonts w:hint="eastAsia" w:ascii="宋体" w:hAnsi="宋体" w:eastAsia="宋体"/>
          <w:snapToGrid w:val="0"/>
          <w:color w:val="auto"/>
          <w:sz w:val="21"/>
          <w:szCs w:val="21"/>
          <w:u w:val="single"/>
        </w:rPr>
        <w:t>日至2024年03月0</w:t>
      </w:r>
      <w:r>
        <w:rPr>
          <w:rFonts w:hint="eastAsia" w:ascii="宋体" w:hAnsi="宋体" w:eastAsia="宋体"/>
          <w:snapToGrid w:val="0"/>
          <w:color w:val="auto"/>
          <w:sz w:val="21"/>
          <w:szCs w:val="21"/>
          <w:u w:val="single"/>
          <w:lang w:val="en-US" w:eastAsia="zh-CN"/>
        </w:rPr>
        <w:t>6</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w:t>
      </w:r>
      <w:r>
        <w:rPr>
          <w:rFonts w:ascii="宋体" w:hAnsi="宋体" w:eastAsia="宋体"/>
          <w:snapToGrid w:val="0"/>
          <w:color w:val="auto"/>
          <w:sz w:val="21"/>
          <w:szCs w:val="21"/>
        </w:rPr>
        <w:t xml:space="preserve"> </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3、方式：现场获取或线上获取</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（1）现场获取：投标人按以上时间和地点现场报名和获取招标文件，需携带以下资料:</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1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①</w:t>
      </w:r>
      <w:r>
        <w:rPr>
          <w:rFonts w:ascii="宋体" w:hAnsi="宋体" w:cs="Arial Unicode MS"/>
          <w:snapToGrid w:val="0"/>
          <w:kern w:val="0"/>
          <w:szCs w:val="21"/>
        </w:rPr>
        <w:fldChar w:fldCharType="end"/>
      </w:r>
      <w:r>
        <w:rPr>
          <w:rFonts w:hint="eastAsia" w:ascii="宋体" w:hAnsi="宋体" w:cs="Arial Unicode MS"/>
          <w:snapToGrid w:val="0"/>
          <w:kern w:val="0"/>
          <w:szCs w:val="21"/>
        </w:rPr>
        <w:t>加盖公章的营业执照或法人证书等复印件或扫描件；</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2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②</w:t>
      </w:r>
      <w:r>
        <w:rPr>
          <w:rFonts w:ascii="宋体" w:hAnsi="宋体" w:cs="Arial Unicode MS"/>
          <w:snapToGrid w:val="0"/>
          <w:kern w:val="0"/>
          <w:szCs w:val="21"/>
        </w:rPr>
        <w:fldChar w:fldCharType="end"/>
      </w:r>
      <w:r>
        <w:rPr>
          <w:rFonts w:hint="eastAsia" w:ascii="宋体" w:hAnsi="宋体" w:cs="Arial Unicode MS"/>
          <w:snapToGrid w:val="0"/>
          <w:kern w:val="0"/>
          <w:szCs w:val="21"/>
        </w:rPr>
        <w:t>加盖公章的法定代表人授权委托书复印件或扫描件。</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 xml:space="preserve">（2）线上获取：投标人通过邮件报名及获取招标文件，报名时间以我司邮箱收件时间为准（我司邮箱：qtszzzzb@163.com），逾期不予受理。需提供以下资料: </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1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①</w:t>
      </w:r>
      <w:r>
        <w:rPr>
          <w:rFonts w:ascii="宋体" w:hAnsi="宋体" w:cs="Arial Unicode MS"/>
          <w:snapToGrid w:val="0"/>
          <w:kern w:val="0"/>
          <w:szCs w:val="21"/>
        </w:rPr>
        <w:fldChar w:fldCharType="end"/>
      </w:r>
      <w:r>
        <w:rPr>
          <w:rFonts w:hint="eastAsia" w:ascii="宋体" w:hAnsi="宋体" w:cs="Arial Unicode MS"/>
          <w:snapToGrid w:val="0"/>
          <w:kern w:val="0"/>
          <w:szCs w:val="21"/>
        </w:rPr>
        <w:t>加盖公章的《购买标书登记表》（下载地址：www.szzzt.com 首页“下载中心”）；</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2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②</w:t>
      </w:r>
      <w:r>
        <w:rPr>
          <w:rFonts w:ascii="宋体" w:hAnsi="宋体" w:cs="Arial Unicode MS"/>
          <w:snapToGrid w:val="0"/>
          <w:kern w:val="0"/>
          <w:szCs w:val="21"/>
        </w:rPr>
        <w:fldChar w:fldCharType="end"/>
      </w:r>
      <w:r>
        <w:rPr>
          <w:rFonts w:hint="eastAsia" w:ascii="宋体" w:hAnsi="宋体" w:cs="Arial Unicode MS"/>
          <w:snapToGrid w:val="0"/>
          <w:kern w:val="0"/>
          <w:szCs w:val="21"/>
        </w:rPr>
        <w:t>加盖公章的营业执照或法人证书等复印件或扫描件；</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3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③</w:t>
      </w:r>
      <w:r>
        <w:rPr>
          <w:rFonts w:ascii="宋体" w:hAnsi="宋体" w:cs="Arial Unicode MS"/>
          <w:snapToGrid w:val="0"/>
          <w:kern w:val="0"/>
          <w:szCs w:val="21"/>
        </w:rPr>
        <w:fldChar w:fldCharType="end"/>
      </w:r>
      <w:r>
        <w:rPr>
          <w:rFonts w:hint="eastAsia" w:ascii="宋体" w:hAnsi="宋体" w:cs="Arial Unicode MS"/>
          <w:snapToGrid w:val="0"/>
          <w:kern w:val="0"/>
          <w:szCs w:val="21"/>
        </w:rPr>
        <w:t>加盖公章的法定代表人授权委托书复印件或扫描件；</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4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④</w:t>
      </w:r>
      <w:r>
        <w:rPr>
          <w:rFonts w:ascii="宋体" w:hAnsi="宋体" w:cs="Arial Unicode MS"/>
          <w:snapToGrid w:val="0"/>
          <w:kern w:val="0"/>
          <w:szCs w:val="21"/>
        </w:rPr>
        <w:fldChar w:fldCharType="end"/>
      </w:r>
      <w:r>
        <w:rPr>
          <w:rFonts w:hint="eastAsia" w:ascii="宋体" w:hAnsi="宋体" w:cs="Arial Unicode MS"/>
          <w:snapToGrid w:val="0"/>
          <w:kern w:val="0"/>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开户银行：上海银行深圳天安支行</w:t>
      </w: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2024年03月11日10点00分（北京时间）</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3、本项目投标人可以通过快递方式在提交投标文件截止时间前将投标文件邮寄至我司，送达时间以我司工作人员签收时间为准。快递箱封面需用A4纸清晰标注项目名称、项目编号和投标人名称；投标人自行承担因寄错地址、逾期送达、未按照招标文件要求密封或者邮寄过程中出现包装密封破损等可能导致投标无效情形的责任与后果。投标人未参加开标会的，视同认可开标结果。</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名称：深圳市质量安全检验检测研究院</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地址：深圳市南山区西丽街道茶光路1085号</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联系方式：张工，0755-82286363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联系方式：李先生，0755-83026699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项目联系人：李先生</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pPr>
      <w:r>
        <w:rPr>
          <w:rFonts w:ascii="宋体" w:hAnsi="宋体"/>
          <w:snapToGrid w:val="0"/>
          <w:kern w:val="0"/>
          <w:sz w:val="24"/>
        </w:rPr>
        <w:t>2024年</w:t>
      </w:r>
      <w:r>
        <w:rPr>
          <w:rFonts w:hint="eastAsia" w:ascii="宋体" w:hAnsi="宋体"/>
          <w:snapToGrid w:val="0"/>
          <w:kern w:val="0"/>
          <w:sz w:val="24"/>
        </w:rPr>
        <w:t>02</w:t>
      </w:r>
      <w:r>
        <w:rPr>
          <w:rFonts w:ascii="宋体" w:hAnsi="宋体"/>
          <w:snapToGrid w:val="0"/>
          <w:kern w:val="0"/>
          <w:sz w:val="24"/>
        </w:rPr>
        <w:t>月</w:t>
      </w:r>
      <w:r>
        <w:rPr>
          <w:rFonts w:hint="eastAsia" w:ascii="宋体" w:hAnsi="宋体"/>
          <w:snapToGrid w:val="0"/>
          <w:kern w:val="0"/>
          <w:sz w:val="24"/>
          <w:lang w:val="en-US" w:eastAsia="zh-CN"/>
        </w:rPr>
        <w:t>28</w:t>
      </w:r>
      <w:r>
        <w:rPr>
          <w:rFonts w:hint="eastAsia" w:ascii="宋体" w:hAnsi="宋体"/>
          <w:snapToGrid w:val="0"/>
          <w:kern w:val="0"/>
          <w:sz w:val="24"/>
        </w:rPr>
        <w:t>日</w:t>
      </w:r>
      <w:bookmarkEnd w:id="120"/>
    </w:p>
    <w:p>
      <w:pPr>
        <w:pStyle w:val="346"/>
      </w:pPr>
    </w:p>
    <w:p>
      <w:pPr>
        <w:pStyle w:val="2"/>
      </w:pPr>
      <w:bookmarkStart w:id="1" w:name="_Toc135293160"/>
      <w:r>
        <w:rPr>
          <w:rFonts w:hint="eastAsia"/>
        </w:rPr>
        <w:t>第二章  项目需求</w:t>
      </w:r>
      <w:bookmarkEnd w:id="1"/>
    </w:p>
    <w:p>
      <w:pPr>
        <w:spacing w:after="156" w:afterLines="50" w:line="360" w:lineRule="auto"/>
        <w:ind w:left="2"/>
        <w:jc w:val="center"/>
        <w:rPr>
          <w:rFonts w:ascii="宋体" w:hAnsi="宋体"/>
          <w:b/>
          <w:sz w:val="24"/>
        </w:rPr>
      </w:pPr>
      <w:r>
        <w:rPr>
          <w:rFonts w:hint="eastAsia" w:ascii="宋体" w:hAnsi="宋体"/>
          <w:b/>
          <w:sz w:val="24"/>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5、加注★的条款为不可负偏离条款，任一项未响应或不满足要求的，将导致投标无效。</w:t>
      </w:r>
    </w:p>
    <w:p>
      <w:pPr>
        <w:pStyle w:val="321"/>
        <w:ind w:firstLine="0" w:firstLineChars="0"/>
        <w:rPr>
          <w:b/>
        </w:rPr>
      </w:pPr>
    </w:p>
    <w:p>
      <w:pPr>
        <w:pStyle w:val="321"/>
        <w:ind w:firstLine="0" w:firstLineChars="0"/>
        <w:rPr>
          <w:b/>
        </w:rPr>
      </w:pPr>
      <w:r>
        <w:rPr>
          <w:rFonts w:hint="eastAsia"/>
          <w:b/>
        </w:rPr>
        <w:t>一、项目概况</w:t>
      </w:r>
    </w:p>
    <w:p>
      <w:pPr>
        <w:pStyle w:val="255"/>
        <w:spacing w:before="156"/>
        <w:ind w:firstLine="0" w:firstLineChars="0"/>
        <w:rPr>
          <w:rFonts w:asciiTheme="minorEastAsia" w:hAnsiTheme="minorEastAsia" w:eastAsiaTheme="minorEastAsia"/>
          <w:b/>
        </w:rPr>
      </w:pPr>
      <w:r>
        <w:rPr>
          <w:rFonts w:hint="eastAsia" w:asciiTheme="minorEastAsia" w:hAnsiTheme="minorEastAsia" w:eastAsiaTheme="minorEastAsia"/>
          <w:b/>
        </w:rPr>
        <w:t>（一）采购需求</w:t>
      </w:r>
    </w:p>
    <w:tbl>
      <w:tblPr>
        <w:tblStyle w:val="50"/>
        <w:tblW w:w="9796" w:type="dxa"/>
        <w:tblInd w:w="0" w:type="dxa"/>
        <w:tblLayout w:type="fixed"/>
        <w:tblCellMar>
          <w:top w:w="15" w:type="dxa"/>
          <w:left w:w="15" w:type="dxa"/>
          <w:bottom w:w="15" w:type="dxa"/>
          <w:right w:w="15" w:type="dxa"/>
        </w:tblCellMar>
      </w:tblPr>
      <w:tblGrid>
        <w:gridCol w:w="866"/>
        <w:gridCol w:w="3685"/>
        <w:gridCol w:w="921"/>
        <w:gridCol w:w="922"/>
        <w:gridCol w:w="1701"/>
        <w:gridCol w:w="1701"/>
      </w:tblGrid>
      <w:tr>
        <w:tblPrEx>
          <w:tblCellMar>
            <w:top w:w="15" w:type="dxa"/>
            <w:left w:w="15" w:type="dxa"/>
            <w:bottom w:w="15" w:type="dxa"/>
            <w:right w:w="15" w:type="dxa"/>
          </w:tblCellMar>
        </w:tblPrEx>
        <w:trPr>
          <w:trHeight w:val="689" w:hRule="atLeast"/>
        </w:trPr>
        <w:tc>
          <w:tcPr>
            <w:tcW w:w="866" w:type="dxa"/>
            <w:tcBorders>
              <w:top w:val="single" w:color="000000" w:sz="4" w:space="0"/>
              <w:left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序号</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color w:val="FF0000"/>
                <w:szCs w:val="21"/>
              </w:rPr>
            </w:pPr>
            <w:r>
              <w:rPr>
                <w:rFonts w:hint="eastAsia" w:ascii="宋体" w:hAnsi="宋体" w:cs="宋体"/>
                <w:b/>
                <w:color w:val="FF0000"/>
                <w:szCs w:val="21"/>
              </w:rPr>
              <w:t>标的名称</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数量</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单位</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采购预算金额</w:t>
            </w:r>
          </w:p>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（人民币元）</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备注</w:t>
            </w:r>
          </w:p>
        </w:tc>
      </w:tr>
      <w:tr>
        <w:tblPrEx>
          <w:tblCellMar>
            <w:top w:w="15" w:type="dxa"/>
            <w:left w:w="15" w:type="dxa"/>
            <w:bottom w:w="15" w:type="dxa"/>
            <w:right w:w="15" w:type="dxa"/>
          </w:tblCellMar>
        </w:tblPrEx>
        <w:trPr>
          <w:trHeight w:val="799"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rPr>
              <w:t>1</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snapToGrid w:val="0"/>
                <w:szCs w:val="21"/>
              </w:rPr>
              <w:t>制样及质量管理辅助服务项目</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1</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项</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ascii="宋体" w:hAnsi="宋体" w:cs="宋体"/>
                <w:szCs w:val="21"/>
              </w:rPr>
              <w:t>706</w:t>
            </w:r>
            <w:r>
              <w:rPr>
                <w:rFonts w:hint="eastAsia" w:ascii="宋体" w:hAnsi="宋体" w:cs="宋体"/>
                <w:szCs w:val="21"/>
              </w:rPr>
              <w:t>,</w:t>
            </w:r>
            <w:r>
              <w:rPr>
                <w:rFonts w:ascii="宋体" w:hAnsi="宋体" w:cs="宋体"/>
                <w:szCs w:val="21"/>
              </w:rPr>
              <w:t>000.00</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无</w:t>
            </w:r>
          </w:p>
        </w:tc>
      </w:tr>
    </w:tbl>
    <w:p>
      <w:pPr>
        <w:pStyle w:val="255"/>
        <w:spacing w:before="156"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（二）项目基本情况</w:t>
      </w:r>
    </w:p>
    <w:p>
      <w:pPr>
        <w:pStyle w:val="506"/>
        <w:widowControl w:val="0"/>
        <w:wordWrap/>
        <w:spacing w:afterLines="0" w:line="360" w:lineRule="auto"/>
        <w:ind w:firstLine="420"/>
        <w:rPr>
          <w:rFonts w:cs="Times New Roman"/>
          <w:snapToGrid/>
          <w:spacing w:val="0"/>
          <w:sz w:val="21"/>
          <w:szCs w:val="21"/>
        </w:rPr>
      </w:pPr>
      <w:r>
        <w:rPr>
          <w:rFonts w:hint="eastAsia" w:cs="Times New Roman"/>
          <w:snapToGrid/>
          <w:spacing w:val="0"/>
          <w:sz w:val="21"/>
          <w:szCs w:val="21"/>
        </w:rPr>
        <w:t>采购人承担全市农产品质量安全的调查抽样、检验检测、监测和风险评估工作；承担动物</w:t>
      </w:r>
      <w:r>
        <w:rPr>
          <w:rFonts w:cs="Times New Roman"/>
          <w:snapToGrid/>
          <w:spacing w:val="0"/>
          <w:sz w:val="21"/>
          <w:szCs w:val="21"/>
        </w:rPr>
        <w:t>疫病的监测、检测、诊断、流行病学调查和疫情报告职能；</w:t>
      </w:r>
      <w:r>
        <w:rPr>
          <w:rFonts w:hint="eastAsia" w:cs="Times New Roman"/>
          <w:snapToGrid/>
          <w:spacing w:val="0"/>
          <w:sz w:val="21"/>
          <w:szCs w:val="21"/>
        </w:rPr>
        <w:t>承担</w:t>
      </w:r>
      <w:r>
        <w:rPr>
          <w:rFonts w:cs="Times New Roman"/>
          <w:snapToGrid/>
          <w:spacing w:val="0"/>
          <w:sz w:val="21"/>
          <w:szCs w:val="21"/>
        </w:rPr>
        <w:t>深圳市市场监督管理局食用农产品及食品的定量检测（第三方）承检机构监督评价工作</w:t>
      </w:r>
      <w:r>
        <w:rPr>
          <w:rFonts w:hint="eastAsia" w:cs="Times New Roman"/>
          <w:snapToGrid/>
          <w:spacing w:val="0"/>
          <w:sz w:val="21"/>
          <w:szCs w:val="21"/>
        </w:rPr>
        <w:t>。依据相关的法律法规和资质认定管理办法及评审准则的要求，采购人需建立、运行、完善管理体系；增添、更新检测设备；提高检验检测技术，为农产品质量安全的监管、动物疫病预防控制等提供技术支撑。</w:t>
      </w:r>
    </w:p>
    <w:p>
      <w:pPr>
        <w:pStyle w:val="506"/>
        <w:widowControl w:val="0"/>
        <w:wordWrap/>
        <w:spacing w:afterLines="0" w:line="360" w:lineRule="auto"/>
        <w:ind w:firstLine="420"/>
        <w:rPr>
          <w:rFonts w:cs="Times New Roman"/>
          <w:snapToGrid/>
          <w:spacing w:val="0"/>
          <w:sz w:val="21"/>
          <w:szCs w:val="21"/>
        </w:rPr>
      </w:pPr>
      <w:r>
        <w:rPr>
          <w:rFonts w:hint="eastAsia" w:cs="Times New Roman"/>
          <w:snapToGrid/>
          <w:spacing w:val="0"/>
          <w:sz w:val="21"/>
          <w:szCs w:val="21"/>
        </w:rPr>
        <w:t>根据上述职能要求，为保障各项工作的顺利完成，提高工作效率和质量，采购人需要采购制样及质量管理辅助服务；中标人主要负责辅助采购人完成试剂耗材及仪器设备管理、标准物质管理、人员档案管理、样品制备、样品接收、样品流转及发放、样品储存管理、食用农产品的检验检测等工作。</w:t>
      </w:r>
    </w:p>
    <w:p>
      <w:pPr>
        <w:pStyle w:val="506"/>
        <w:wordWrap/>
        <w:spacing w:afterLines="0" w:line="360" w:lineRule="auto"/>
        <w:ind w:firstLine="420"/>
        <w:rPr>
          <w:rFonts w:cs="Times New Roman"/>
          <w:snapToGrid/>
          <w:spacing w:val="0"/>
          <w:sz w:val="21"/>
          <w:szCs w:val="21"/>
        </w:rPr>
      </w:pPr>
    </w:p>
    <w:p>
      <w:pPr>
        <w:pStyle w:val="321"/>
        <w:ind w:firstLine="0" w:firstLineChars="0"/>
        <w:rPr>
          <w:b/>
        </w:rPr>
      </w:pPr>
      <w:r>
        <w:rPr>
          <w:rFonts w:hint="eastAsia"/>
          <w:b/>
        </w:rPr>
        <w:t>二、项目服务要求</w:t>
      </w:r>
    </w:p>
    <w:p>
      <w:pPr>
        <w:spacing w:line="360" w:lineRule="auto"/>
        <w:ind w:firstLine="422" w:firstLineChars="200"/>
        <w:jc w:val="left"/>
        <w:rPr>
          <w:rFonts w:ascii="宋体" w:hAnsi="宋体" w:cs="宋体"/>
          <w:b/>
          <w:bCs/>
          <w:szCs w:val="21"/>
        </w:rPr>
      </w:pPr>
      <w:r>
        <w:rPr>
          <w:rFonts w:hint="eastAsia" w:ascii="宋体" w:hAnsi="宋体" w:cs="宋体"/>
          <w:b/>
          <w:bCs/>
          <w:szCs w:val="21"/>
        </w:rPr>
        <w:t>（一）中标方提供至少6名工作人员，按要求辅助完成制样及质量管理等相关工作，具体内容如下：</w:t>
      </w:r>
    </w:p>
    <w:p>
      <w:pPr>
        <w:pStyle w:val="4"/>
        <w:keepNext w:val="0"/>
        <w:keepLines w:val="0"/>
        <w:spacing w:before="0" w:after="0" w:line="360" w:lineRule="auto"/>
        <w:ind w:firstLine="420" w:firstLineChars="200"/>
        <w:jc w:val="left"/>
        <w:rPr>
          <w:rFonts w:ascii="宋体" w:hAnsi="宋体" w:eastAsia="宋体" w:cs="宋体"/>
          <w:b w:val="0"/>
          <w:bCs w:val="0"/>
          <w:sz w:val="21"/>
          <w:szCs w:val="21"/>
        </w:rPr>
      </w:pPr>
      <w:r>
        <w:rPr>
          <w:rFonts w:hint="eastAsia" w:ascii="宋体" w:hAnsi="宋体" w:eastAsia="宋体" w:cs="宋体"/>
          <w:b w:val="0"/>
          <w:bCs w:val="0"/>
          <w:sz w:val="21"/>
          <w:szCs w:val="21"/>
        </w:rPr>
        <w:t>1、协助样品管理员按照采购人体系文件、相关的标准方法要求完成农检本部约2万份检验样品的接收登记、检测任务、样品制备、样品发放、留样保管和到期样品处理等工作。</w:t>
      </w:r>
    </w:p>
    <w:p>
      <w:pPr>
        <w:spacing w:line="360" w:lineRule="auto"/>
        <w:ind w:firstLine="420" w:firstLineChars="200"/>
        <w:jc w:val="left"/>
        <w:rPr>
          <w:rFonts w:ascii="宋体" w:hAnsi="宋体" w:cs="宋体"/>
          <w:szCs w:val="21"/>
        </w:rPr>
      </w:pPr>
      <w:r>
        <w:rPr>
          <w:rFonts w:hint="eastAsia" w:ascii="宋体" w:hAnsi="宋体" w:cs="宋体"/>
          <w:szCs w:val="21"/>
        </w:rPr>
        <w:t>2、协助做好采购人检验物资及耗材（含标准物质）的预算整合、采购申请的预审、验收、登记入库、保存、发放工作。</w:t>
      </w:r>
    </w:p>
    <w:p>
      <w:pPr>
        <w:pStyle w:val="4"/>
        <w:keepNext w:val="0"/>
        <w:keepLines w:val="0"/>
        <w:spacing w:before="0" w:after="0" w:line="360" w:lineRule="auto"/>
        <w:ind w:firstLine="420" w:firstLineChars="200"/>
        <w:jc w:val="left"/>
        <w:rPr>
          <w:rFonts w:ascii="宋体" w:hAnsi="宋体" w:eastAsia="宋体" w:cs="宋体"/>
          <w:b w:val="0"/>
          <w:bCs w:val="0"/>
          <w:sz w:val="21"/>
          <w:szCs w:val="21"/>
        </w:rPr>
      </w:pPr>
      <w:r>
        <w:rPr>
          <w:rFonts w:hint="eastAsia" w:ascii="宋体" w:hAnsi="宋体" w:eastAsia="宋体" w:cs="宋体"/>
          <w:b w:val="0"/>
          <w:bCs w:val="0"/>
          <w:sz w:val="21"/>
          <w:szCs w:val="21"/>
        </w:rPr>
        <w:t>3、协助做好采购人仪器设备的预算整合、验收、建档、标识、维护保养统筹等工作。</w:t>
      </w:r>
    </w:p>
    <w:p>
      <w:pPr>
        <w:spacing w:line="360" w:lineRule="auto"/>
        <w:ind w:firstLine="420" w:firstLineChars="200"/>
        <w:jc w:val="left"/>
        <w:rPr>
          <w:rFonts w:ascii="宋体" w:hAnsi="宋体" w:cs="宋体"/>
          <w:szCs w:val="21"/>
        </w:rPr>
      </w:pPr>
      <w:r>
        <w:rPr>
          <w:rFonts w:hint="eastAsia" w:ascii="宋体" w:hAnsi="宋体" w:cs="宋体"/>
          <w:szCs w:val="21"/>
        </w:rPr>
        <w:t>4、协助做好采购人技术标准和资料的收集整理。</w:t>
      </w:r>
    </w:p>
    <w:p>
      <w:pPr>
        <w:pStyle w:val="4"/>
        <w:keepNext w:val="0"/>
        <w:keepLines w:val="0"/>
        <w:spacing w:before="0" w:after="0" w:line="360" w:lineRule="auto"/>
        <w:ind w:firstLine="420" w:firstLineChars="200"/>
        <w:jc w:val="left"/>
        <w:rPr>
          <w:rFonts w:ascii="宋体" w:hAnsi="宋体" w:eastAsia="宋体" w:cs="宋体"/>
          <w:b w:val="0"/>
          <w:bCs w:val="0"/>
          <w:sz w:val="21"/>
          <w:szCs w:val="21"/>
        </w:rPr>
      </w:pPr>
      <w:r>
        <w:rPr>
          <w:rFonts w:hint="eastAsia" w:ascii="宋体" w:hAnsi="宋体" w:eastAsia="宋体" w:cs="宋体"/>
          <w:b w:val="0"/>
          <w:bCs w:val="0"/>
          <w:sz w:val="21"/>
          <w:szCs w:val="21"/>
        </w:rPr>
        <w:t>5、协助做好“市抽系统”的样品接收、数据导出、数据整理汇总。</w:t>
      </w:r>
    </w:p>
    <w:p>
      <w:pPr>
        <w:spacing w:line="360" w:lineRule="auto"/>
        <w:ind w:firstLine="420" w:firstLineChars="200"/>
        <w:jc w:val="left"/>
        <w:rPr>
          <w:rFonts w:ascii="宋体" w:hAnsi="宋体" w:cs="宋体"/>
          <w:szCs w:val="21"/>
        </w:rPr>
      </w:pPr>
      <w:r>
        <w:rPr>
          <w:rFonts w:hint="eastAsia" w:ascii="宋体" w:hAnsi="宋体" w:cs="宋体"/>
          <w:szCs w:val="21"/>
        </w:rPr>
        <w:t>6、协助做好采购人的实验室信息管理系统的检验模板设置、维护；做好样品信息、样品台账导入等工作。</w:t>
      </w:r>
    </w:p>
    <w:p>
      <w:pPr>
        <w:pStyle w:val="4"/>
        <w:keepNext w:val="0"/>
        <w:keepLines w:val="0"/>
        <w:spacing w:before="0" w:after="0" w:line="360" w:lineRule="auto"/>
        <w:ind w:firstLine="420" w:firstLineChars="200"/>
        <w:jc w:val="left"/>
        <w:rPr>
          <w:rFonts w:ascii="宋体" w:hAnsi="宋体" w:eastAsia="宋体" w:cs="宋体"/>
          <w:b w:val="0"/>
          <w:bCs w:val="0"/>
          <w:sz w:val="21"/>
          <w:szCs w:val="21"/>
        </w:rPr>
      </w:pPr>
      <w:r>
        <w:rPr>
          <w:rFonts w:hint="eastAsia" w:ascii="宋体" w:hAnsi="宋体" w:eastAsia="宋体" w:cs="宋体"/>
          <w:b w:val="0"/>
          <w:bCs w:val="0"/>
          <w:sz w:val="21"/>
          <w:szCs w:val="21"/>
        </w:rPr>
        <w:t>7、协助做好采购人的实验室信息管理系统的物料管理模块，基础信息设置、维护；试剂、耗材和标准物质出入库管理等。</w:t>
      </w:r>
    </w:p>
    <w:p>
      <w:pPr>
        <w:spacing w:line="360" w:lineRule="auto"/>
        <w:ind w:firstLine="420" w:firstLineChars="200"/>
        <w:jc w:val="left"/>
        <w:rPr>
          <w:rFonts w:ascii="宋体" w:hAnsi="宋体" w:cs="宋体"/>
          <w:szCs w:val="21"/>
        </w:rPr>
      </w:pPr>
      <w:r>
        <w:rPr>
          <w:rFonts w:hint="eastAsia" w:ascii="宋体" w:hAnsi="宋体" w:cs="宋体"/>
          <w:szCs w:val="21"/>
        </w:rPr>
        <w:t>8、协助做好“食用农产品的监督评价工作”留样复核的样品接收、派发、数据汇总统计等工作。</w:t>
      </w:r>
    </w:p>
    <w:p>
      <w:pPr>
        <w:pStyle w:val="4"/>
        <w:keepNext w:val="0"/>
        <w:keepLines w:val="0"/>
        <w:spacing w:before="0" w:after="0" w:line="360" w:lineRule="auto"/>
        <w:ind w:firstLine="420" w:firstLineChars="200"/>
        <w:jc w:val="left"/>
        <w:rPr>
          <w:rFonts w:ascii="宋体" w:hAnsi="宋体" w:eastAsia="宋体" w:cs="宋体"/>
          <w:b w:val="0"/>
          <w:bCs w:val="0"/>
          <w:sz w:val="21"/>
          <w:szCs w:val="21"/>
        </w:rPr>
      </w:pPr>
      <w:r>
        <w:rPr>
          <w:rFonts w:hint="eastAsia" w:ascii="宋体" w:hAnsi="宋体" w:eastAsia="宋体" w:cs="宋体"/>
          <w:b w:val="0"/>
          <w:bCs w:val="0"/>
          <w:sz w:val="21"/>
          <w:szCs w:val="21"/>
        </w:rPr>
        <w:t>9、协助做好检验检测工作。</w:t>
      </w:r>
    </w:p>
    <w:p>
      <w:pPr>
        <w:pStyle w:val="4"/>
        <w:keepNext w:val="0"/>
        <w:keepLines w:val="0"/>
        <w:spacing w:before="0" w:after="0" w:line="360" w:lineRule="auto"/>
        <w:ind w:firstLine="420" w:firstLineChars="200"/>
        <w:jc w:val="left"/>
        <w:rPr>
          <w:rFonts w:ascii="宋体" w:hAnsi="宋体" w:eastAsia="宋体" w:cs="宋体"/>
          <w:b w:val="0"/>
          <w:bCs w:val="0"/>
          <w:sz w:val="21"/>
          <w:szCs w:val="21"/>
        </w:rPr>
      </w:pPr>
      <w:r>
        <w:rPr>
          <w:rFonts w:hint="eastAsia" w:ascii="宋体" w:hAnsi="宋体" w:eastAsia="宋体" w:cs="宋体"/>
          <w:b w:val="0"/>
          <w:bCs w:val="0"/>
          <w:sz w:val="21"/>
          <w:szCs w:val="21"/>
        </w:rPr>
        <w:t>10、其他需要协助完成的工作。</w:t>
      </w:r>
    </w:p>
    <w:p>
      <w:pPr>
        <w:spacing w:line="360" w:lineRule="auto"/>
        <w:ind w:firstLine="422" w:firstLineChars="200"/>
        <w:jc w:val="left"/>
        <w:rPr>
          <w:rFonts w:ascii="宋体" w:hAnsi="宋体" w:cs="宋体"/>
          <w:b/>
          <w:bCs/>
          <w:szCs w:val="21"/>
        </w:rPr>
      </w:pPr>
      <w:r>
        <w:rPr>
          <w:rFonts w:hint="eastAsia" w:ascii="宋体" w:hAnsi="宋体" w:cs="宋体"/>
          <w:b/>
          <w:bCs/>
          <w:szCs w:val="21"/>
        </w:rPr>
        <w:t>（二）人员要求：</w:t>
      </w:r>
    </w:p>
    <w:p>
      <w:pPr>
        <w:spacing w:line="360" w:lineRule="auto"/>
        <w:ind w:firstLine="420" w:firstLineChars="200"/>
        <w:jc w:val="left"/>
        <w:rPr>
          <w:rFonts w:ascii="宋体" w:hAnsi="宋体" w:cs="宋体"/>
          <w:szCs w:val="21"/>
        </w:rPr>
      </w:pPr>
      <w:r>
        <w:rPr>
          <w:rFonts w:hint="eastAsia" w:ascii="宋体" w:hAnsi="宋体" w:cs="宋体"/>
          <w:szCs w:val="21"/>
        </w:rPr>
        <w:t>1、人员年龄不超过45岁且身体健康；具备农业、畜牧业、食品、分析化学、生物技术、电子信息科学与技术、计算机专业等相关专业且学历为中专或以上。</w:t>
      </w:r>
    </w:p>
    <w:p>
      <w:pPr>
        <w:pStyle w:val="4"/>
        <w:keepNext w:val="0"/>
        <w:keepLines w:val="0"/>
        <w:spacing w:before="0" w:after="0" w:line="360" w:lineRule="auto"/>
        <w:ind w:firstLine="420" w:firstLineChars="200"/>
        <w:jc w:val="left"/>
        <w:rPr>
          <w:rFonts w:ascii="宋体" w:hAnsi="宋体" w:eastAsia="宋体" w:cs="宋体"/>
          <w:b w:val="0"/>
          <w:bCs w:val="0"/>
          <w:sz w:val="21"/>
          <w:szCs w:val="21"/>
        </w:rPr>
      </w:pPr>
      <w:r>
        <w:rPr>
          <w:rFonts w:hint="eastAsia" w:ascii="宋体" w:hAnsi="宋体" w:eastAsia="宋体" w:cs="宋体"/>
          <w:b w:val="0"/>
          <w:bCs w:val="0"/>
          <w:sz w:val="21"/>
          <w:szCs w:val="21"/>
        </w:rPr>
        <w:t>2、熟悉食品、农产品的相关检验检测标准；有样品制备和样品管理的工作经验，要求样品制备及样品保存管理规范、准确。</w:t>
      </w:r>
    </w:p>
    <w:p>
      <w:pPr>
        <w:spacing w:line="360" w:lineRule="auto"/>
        <w:ind w:firstLine="420" w:firstLineChars="200"/>
        <w:jc w:val="left"/>
        <w:rPr>
          <w:rFonts w:ascii="宋体" w:hAnsi="宋体" w:cs="宋体"/>
          <w:szCs w:val="21"/>
        </w:rPr>
      </w:pPr>
      <w:r>
        <w:rPr>
          <w:rFonts w:hint="eastAsia" w:ascii="宋体" w:hAnsi="宋体" w:cs="宋体"/>
          <w:szCs w:val="21"/>
        </w:rPr>
        <w:t>3、熟悉检验检测相关的试剂、耗材、标准物质、仪器设备、辅助设备等管理工作。</w:t>
      </w:r>
    </w:p>
    <w:p>
      <w:pPr>
        <w:pStyle w:val="4"/>
        <w:keepNext w:val="0"/>
        <w:keepLines w:val="0"/>
        <w:spacing w:before="0" w:after="0" w:line="360" w:lineRule="auto"/>
        <w:ind w:firstLine="420" w:firstLineChars="200"/>
        <w:jc w:val="left"/>
        <w:rPr>
          <w:rFonts w:ascii="宋体" w:hAnsi="宋体" w:eastAsia="宋体" w:cs="宋体"/>
          <w:b w:val="0"/>
          <w:bCs w:val="0"/>
          <w:sz w:val="21"/>
          <w:szCs w:val="21"/>
        </w:rPr>
      </w:pPr>
      <w:r>
        <w:rPr>
          <w:rFonts w:hint="eastAsia" w:ascii="宋体" w:hAnsi="宋体" w:eastAsia="宋体" w:cs="宋体"/>
          <w:b w:val="0"/>
          <w:bCs w:val="0"/>
          <w:sz w:val="21"/>
          <w:szCs w:val="21"/>
        </w:rPr>
        <w:t>4、熟悉信息化系统的操作，如实验室信息管理系统等。</w:t>
      </w:r>
    </w:p>
    <w:p>
      <w:pPr>
        <w:snapToGrid w:val="0"/>
        <w:spacing w:line="360" w:lineRule="auto"/>
        <w:ind w:firstLine="420" w:firstLineChars="200"/>
        <w:jc w:val="left"/>
        <w:rPr>
          <w:rFonts w:ascii="宋体" w:hAnsi="宋体" w:cs="宋体"/>
          <w:szCs w:val="21"/>
        </w:rPr>
      </w:pPr>
      <w:r>
        <w:rPr>
          <w:rFonts w:hint="eastAsia" w:ascii="宋体" w:hAnsi="宋体" w:cs="宋体"/>
          <w:szCs w:val="21"/>
        </w:rPr>
        <w:t>5、须遵守采购人各项规章制度，无刑事处罚的记录。</w:t>
      </w:r>
    </w:p>
    <w:p>
      <w:pPr>
        <w:snapToGrid w:val="0"/>
        <w:spacing w:line="360" w:lineRule="auto"/>
        <w:ind w:firstLine="422" w:firstLineChars="200"/>
        <w:jc w:val="left"/>
        <w:rPr>
          <w:rFonts w:ascii="宋体" w:hAnsi="宋体" w:cs="宋体"/>
          <w:b/>
          <w:bCs/>
          <w:szCs w:val="21"/>
        </w:rPr>
      </w:pPr>
      <w:r>
        <w:rPr>
          <w:rFonts w:hint="eastAsia" w:ascii="宋体" w:hAnsi="宋体" w:cs="宋体"/>
          <w:b/>
          <w:bCs/>
          <w:szCs w:val="21"/>
        </w:rPr>
        <w:t>（三）工作要求：</w:t>
      </w:r>
    </w:p>
    <w:p>
      <w:pPr>
        <w:snapToGrid w:val="0"/>
        <w:spacing w:line="360" w:lineRule="auto"/>
        <w:ind w:firstLine="420" w:firstLineChars="200"/>
        <w:jc w:val="left"/>
        <w:rPr>
          <w:rFonts w:ascii="宋体" w:hAnsi="宋体" w:cs="宋体"/>
          <w:szCs w:val="21"/>
        </w:rPr>
      </w:pPr>
      <w:r>
        <w:rPr>
          <w:rFonts w:hint="eastAsia" w:ascii="宋体" w:hAnsi="宋体" w:cs="宋体"/>
          <w:szCs w:val="21"/>
        </w:rPr>
        <w:t>1、服务人员每天保质保量完成交办的工作。</w:t>
      </w:r>
    </w:p>
    <w:p>
      <w:pPr>
        <w:snapToGrid w:val="0"/>
        <w:spacing w:line="360" w:lineRule="auto"/>
        <w:ind w:firstLine="420" w:firstLineChars="200"/>
        <w:jc w:val="left"/>
        <w:rPr>
          <w:rFonts w:ascii="宋体" w:hAnsi="宋体" w:cs="宋体"/>
          <w:szCs w:val="21"/>
        </w:rPr>
      </w:pPr>
      <w:r>
        <w:rPr>
          <w:rFonts w:hint="eastAsia" w:ascii="宋体" w:hAnsi="宋体" w:cs="宋体"/>
          <w:szCs w:val="21"/>
        </w:rPr>
        <w:t>2、对员工进行安全培训教育及技术指导，遵守规章制度、听从管理和指挥，遵从采购人对工作的安排，认真配合并完成其他临时要求的工作任务。</w:t>
      </w:r>
    </w:p>
    <w:p>
      <w:pPr>
        <w:pStyle w:val="4"/>
        <w:snapToGrid w:val="0"/>
        <w:spacing w:before="0" w:after="0" w:line="360" w:lineRule="auto"/>
        <w:ind w:firstLine="420" w:firstLineChars="200"/>
        <w:jc w:val="left"/>
        <w:rPr>
          <w:rFonts w:ascii="宋体" w:hAnsi="宋体" w:eastAsia="宋体" w:cs="宋体"/>
          <w:b w:val="0"/>
          <w:bCs w:val="0"/>
          <w:sz w:val="21"/>
          <w:szCs w:val="21"/>
        </w:rPr>
      </w:pPr>
      <w:r>
        <w:rPr>
          <w:rFonts w:hint="eastAsia" w:ascii="宋体" w:hAnsi="宋体" w:eastAsia="宋体" w:cs="宋体"/>
          <w:b w:val="0"/>
          <w:bCs w:val="0"/>
          <w:sz w:val="21"/>
          <w:szCs w:val="21"/>
        </w:rPr>
        <w:t>3、委派管理人员与采购人部门相关人员对接沟通，定期到项目地点检查工作，以形成对整体服务团队的约束，平时负责做好相关文字记录及存档的工作。</w:t>
      </w:r>
    </w:p>
    <w:p>
      <w:pPr>
        <w:pStyle w:val="4"/>
        <w:snapToGrid w:val="0"/>
        <w:spacing w:before="0" w:after="0" w:line="360" w:lineRule="auto"/>
        <w:ind w:firstLine="420" w:firstLineChars="200"/>
        <w:jc w:val="left"/>
        <w:rPr>
          <w:rFonts w:ascii="宋体" w:hAnsi="宋体" w:eastAsia="宋体" w:cs="宋体"/>
          <w:b w:val="0"/>
          <w:bCs w:val="0"/>
          <w:sz w:val="21"/>
          <w:szCs w:val="21"/>
        </w:rPr>
      </w:pPr>
      <w:r>
        <w:rPr>
          <w:rFonts w:hint="eastAsia" w:ascii="宋体" w:hAnsi="宋体" w:eastAsia="宋体" w:cs="宋体"/>
          <w:b w:val="0"/>
          <w:bCs w:val="0"/>
          <w:sz w:val="21"/>
          <w:szCs w:val="21"/>
        </w:rPr>
        <w:t>4、服务人员工作时间根据采购人的上下班制度、国家有关规定及实际工作需要做具体安排。</w:t>
      </w:r>
    </w:p>
    <w:p>
      <w:pPr>
        <w:pStyle w:val="4"/>
        <w:snapToGrid w:val="0"/>
        <w:spacing w:before="0" w:after="0" w:line="360" w:lineRule="auto"/>
        <w:ind w:firstLine="420" w:firstLineChars="200"/>
        <w:jc w:val="left"/>
        <w:rPr>
          <w:rFonts w:ascii="宋体" w:hAnsi="宋体" w:eastAsia="宋体" w:cs="宋体"/>
          <w:b w:val="0"/>
          <w:bCs w:val="0"/>
          <w:sz w:val="21"/>
          <w:szCs w:val="21"/>
        </w:rPr>
      </w:pPr>
      <w:r>
        <w:rPr>
          <w:rFonts w:hint="eastAsia" w:ascii="宋体" w:hAnsi="宋体" w:eastAsia="宋体" w:cs="宋体"/>
          <w:b w:val="0"/>
          <w:bCs w:val="0"/>
          <w:sz w:val="21"/>
          <w:szCs w:val="21"/>
        </w:rPr>
        <w:t>5、如若需要服务人员加班，中标方安排其自行调休，服务金额不变。</w:t>
      </w:r>
    </w:p>
    <w:p>
      <w:pPr>
        <w:pStyle w:val="4"/>
        <w:snapToGrid w:val="0"/>
        <w:spacing w:before="0" w:after="0" w:line="360" w:lineRule="auto"/>
        <w:ind w:firstLine="422" w:firstLineChars="200"/>
        <w:jc w:val="left"/>
        <w:rPr>
          <w:rFonts w:ascii="宋体" w:hAnsi="宋体" w:eastAsia="宋体" w:cs="宋体"/>
          <w:sz w:val="21"/>
          <w:szCs w:val="21"/>
        </w:rPr>
      </w:pPr>
      <w:r>
        <w:rPr>
          <w:rFonts w:hint="eastAsia" w:ascii="宋体" w:hAnsi="宋体" w:eastAsia="宋体" w:cs="宋体"/>
          <w:sz w:val="21"/>
          <w:szCs w:val="21"/>
        </w:rPr>
        <w:t>（四）其他要求：</w:t>
      </w:r>
    </w:p>
    <w:p>
      <w:pPr>
        <w:snapToGrid w:val="0"/>
        <w:spacing w:line="360" w:lineRule="auto"/>
        <w:ind w:firstLine="420" w:firstLineChars="200"/>
        <w:jc w:val="left"/>
        <w:rPr>
          <w:rFonts w:ascii="宋体" w:hAnsi="宋体" w:cs="宋体"/>
          <w:szCs w:val="21"/>
        </w:rPr>
      </w:pPr>
      <w:r>
        <w:rPr>
          <w:rFonts w:hint="eastAsia" w:ascii="宋体" w:hAnsi="宋体" w:cs="宋体"/>
          <w:szCs w:val="21"/>
        </w:rPr>
        <w:t>1、中标方按照采购人用工需求，负责安排符合条件服务人员供采购人择优使用，中标方需与安排到岗员工办理合法的劳动用工手续，与其建立劳动关系并签订劳动合同，并保质保量完成工作。中标方承担对员工的用人单位义务，采购人有权对不符合基本条件的服务人员进行退回。 </w:t>
      </w:r>
    </w:p>
    <w:p>
      <w:pPr>
        <w:snapToGrid w:val="0"/>
        <w:spacing w:line="360" w:lineRule="auto"/>
        <w:ind w:firstLine="420" w:firstLineChars="200"/>
        <w:jc w:val="left"/>
        <w:rPr>
          <w:rFonts w:ascii="宋体" w:hAnsi="宋体" w:cs="宋体"/>
          <w:szCs w:val="21"/>
        </w:rPr>
      </w:pPr>
      <w:r>
        <w:rPr>
          <w:rFonts w:hint="eastAsia" w:ascii="宋体" w:hAnsi="宋体" w:cs="宋体"/>
          <w:szCs w:val="21"/>
        </w:rPr>
        <w:t>2、中标方提供给采购人使用的服务人员必须要求身体健康，品德良好，积极肯干，吃苦耐劳，掌握完成本职工作所需技能。</w:t>
      </w:r>
    </w:p>
    <w:p>
      <w:pPr>
        <w:snapToGrid w:val="0"/>
        <w:spacing w:line="360" w:lineRule="auto"/>
        <w:ind w:firstLine="420" w:firstLineChars="200"/>
        <w:jc w:val="left"/>
        <w:rPr>
          <w:rFonts w:ascii="宋体" w:hAnsi="宋体" w:cs="宋体"/>
          <w:szCs w:val="21"/>
        </w:rPr>
      </w:pPr>
      <w:r>
        <w:rPr>
          <w:rFonts w:hint="eastAsia" w:ascii="宋体" w:hAnsi="宋体" w:cs="宋体"/>
          <w:szCs w:val="21"/>
        </w:rPr>
        <w:t>3、服务人员日常工作由采购单位按照相关规章制度及岗位职责进行监督和管理。</w:t>
      </w:r>
    </w:p>
    <w:p>
      <w:pPr>
        <w:snapToGrid w:val="0"/>
        <w:spacing w:line="360" w:lineRule="auto"/>
        <w:ind w:firstLine="420" w:firstLineChars="200"/>
        <w:jc w:val="left"/>
        <w:rPr>
          <w:rFonts w:ascii="宋体" w:hAnsi="宋体" w:cs="宋体"/>
          <w:szCs w:val="21"/>
        </w:rPr>
      </w:pPr>
      <w:r>
        <w:rPr>
          <w:rFonts w:hint="eastAsia" w:ascii="宋体" w:hAnsi="宋体" w:cs="宋体"/>
          <w:szCs w:val="21"/>
        </w:rPr>
        <w:t>4、中标方须保持服务人员不出现用人空缺，具体工作由采购人根据工作需要管理安排。</w:t>
      </w:r>
    </w:p>
    <w:p>
      <w:pPr>
        <w:snapToGrid w:val="0"/>
        <w:spacing w:line="360" w:lineRule="auto"/>
        <w:ind w:firstLine="420" w:firstLineChars="200"/>
        <w:jc w:val="left"/>
        <w:rPr>
          <w:rFonts w:ascii="宋体" w:hAnsi="宋体" w:cs="宋体"/>
          <w:szCs w:val="21"/>
        </w:rPr>
      </w:pPr>
      <w:r>
        <w:rPr>
          <w:rFonts w:hint="eastAsia" w:ascii="宋体" w:hAnsi="宋体" w:cs="宋体"/>
          <w:szCs w:val="21"/>
        </w:rPr>
        <w:t>5、中标方及其服务人员应遵守采购人的各项规章制度，接受采购人的指导、监督和检查。采购人有权要求调换不适合相关工作的服务人员。</w:t>
      </w:r>
    </w:p>
    <w:p>
      <w:pPr>
        <w:snapToGrid w:val="0"/>
        <w:spacing w:line="360" w:lineRule="auto"/>
        <w:ind w:firstLine="420" w:firstLineChars="200"/>
        <w:jc w:val="left"/>
        <w:rPr>
          <w:rFonts w:ascii="宋体" w:hAnsi="宋体" w:cs="宋体"/>
          <w:szCs w:val="21"/>
        </w:rPr>
      </w:pPr>
      <w:r>
        <w:rPr>
          <w:rFonts w:hint="eastAsia" w:ascii="宋体" w:hAnsi="宋体" w:cs="宋体"/>
          <w:szCs w:val="21"/>
        </w:rPr>
        <w:t>6、中标方须落实文明管理服务的措施，提供文明优质的服务。</w:t>
      </w:r>
    </w:p>
    <w:p>
      <w:pPr>
        <w:snapToGrid w:val="0"/>
        <w:spacing w:line="360" w:lineRule="auto"/>
        <w:ind w:firstLine="420" w:firstLineChars="200"/>
        <w:jc w:val="left"/>
        <w:rPr>
          <w:rFonts w:ascii="宋体" w:hAnsi="宋体" w:cs="宋体"/>
          <w:szCs w:val="21"/>
        </w:rPr>
      </w:pPr>
      <w:r>
        <w:rPr>
          <w:rFonts w:hint="eastAsia" w:ascii="宋体" w:hAnsi="宋体" w:cs="宋体"/>
          <w:szCs w:val="21"/>
        </w:rPr>
        <w:t>7、中标方须配合采购人对证明文件进行核证；</w:t>
      </w:r>
    </w:p>
    <w:p>
      <w:pPr>
        <w:snapToGrid w:val="0"/>
        <w:spacing w:line="360" w:lineRule="auto"/>
        <w:ind w:firstLine="420" w:firstLineChars="200"/>
        <w:jc w:val="left"/>
        <w:rPr>
          <w:rFonts w:ascii="宋体" w:hAnsi="宋体" w:cs="宋体"/>
          <w:szCs w:val="21"/>
        </w:rPr>
      </w:pPr>
      <w:r>
        <w:rPr>
          <w:rFonts w:hint="eastAsia" w:ascii="宋体" w:hAnsi="宋体" w:cs="宋体"/>
          <w:szCs w:val="21"/>
        </w:rPr>
        <w:t>8、服务人员每月伙食由中标方自行承担；</w:t>
      </w:r>
    </w:p>
    <w:p>
      <w:pPr>
        <w:snapToGrid w:val="0"/>
        <w:spacing w:line="360" w:lineRule="auto"/>
        <w:ind w:firstLine="420" w:firstLineChars="200"/>
        <w:jc w:val="left"/>
        <w:rPr>
          <w:rFonts w:ascii="宋体" w:hAnsi="宋体" w:cs="宋体"/>
          <w:szCs w:val="21"/>
        </w:rPr>
      </w:pPr>
      <w:r>
        <w:rPr>
          <w:rFonts w:hint="eastAsia" w:ascii="宋体" w:hAnsi="宋体" w:cs="宋体"/>
          <w:szCs w:val="21"/>
        </w:rPr>
        <w:t>9、服务人员的待遇：中标方人均工资不得低于深圳市最低工资标准，且必须按照法律法规缴交服务人员社会保险费用、住房公积金、医疗保险费用（含生育保险）、失业保险费用、工伤保险费用等，并提供10万元以上人身意外商业保险、若法定节日、双休日加班，应给予调休或补贴。</w:t>
      </w:r>
    </w:p>
    <w:p>
      <w:pPr>
        <w:snapToGrid w:val="0"/>
        <w:spacing w:line="360" w:lineRule="auto"/>
        <w:ind w:firstLine="420" w:firstLineChars="200"/>
        <w:jc w:val="left"/>
        <w:rPr>
          <w:rFonts w:ascii="宋体" w:hAnsi="宋体" w:cs="宋体"/>
          <w:szCs w:val="21"/>
        </w:rPr>
      </w:pPr>
      <w:r>
        <w:rPr>
          <w:rFonts w:hint="eastAsia" w:ascii="宋体" w:hAnsi="宋体" w:cs="宋体"/>
          <w:szCs w:val="21"/>
        </w:rPr>
        <w:t>10、中标方须负责服务人员的人事、劳资、保险办理社会保险和商业保险、计生等人事劳资管理工作，并提供为服务人员办理劳动用工手续、结算发放工资、缴纳社会保险、处理保险理赔、管理人事档案等方面的管理服务；</w:t>
      </w:r>
    </w:p>
    <w:p>
      <w:pPr>
        <w:snapToGrid w:val="0"/>
        <w:spacing w:line="360" w:lineRule="auto"/>
        <w:ind w:firstLine="420" w:firstLineChars="200"/>
        <w:jc w:val="left"/>
        <w:rPr>
          <w:rFonts w:ascii="宋体" w:hAnsi="宋体" w:cs="宋体"/>
          <w:szCs w:val="21"/>
        </w:rPr>
      </w:pPr>
      <w:r>
        <w:rPr>
          <w:rFonts w:hint="eastAsia" w:ascii="宋体" w:hAnsi="宋体" w:cs="宋体"/>
          <w:szCs w:val="21"/>
        </w:rPr>
        <w:t>11、教育服务人员服从采购人规章制度要求和工作安排；按照采购人的要求，及时更换不能胜任工作的人员；负责处理合同服务期内所有劳资纠纷和调解管理纠纷；落实采购人根据规章制度和工作需要提出的其他管理要求；</w:t>
      </w:r>
    </w:p>
    <w:p>
      <w:pPr>
        <w:snapToGrid w:val="0"/>
        <w:spacing w:line="360" w:lineRule="auto"/>
        <w:ind w:firstLine="420" w:firstLineChars="200"/>
        <w:jc w:val="left"/>
        <w:rPr>
          <w:rFonts w:ascii="宋体" w:hAnsi="宋体" w:cs="宋体"/>
          <w:szCs w:val="21"/>
        </w:rPr>
      </w:pPr>
      <w:r>
        <w:rPr>
          <w:rFonts w:hint="eastAsia" w:ascii="宋体" w:hAnsi="宋体" w:cs="宋体"/>
          <w:szCs w:val="21"/>
        </w:rPr>
        <w:t>12、中标方应向服务人员按时发放工资和其他薪酬。不得扣罚服务人员工资和其他薪酬，不得缩减或变更服务人员社会保险缴付金额和险种；</w:t>
      </w:r>
    </w:p>
    <w:p>
      <w:pPr>
        <w:snapToGrid w:val="0"/>
        <w:spacing w:line="360" w:lineRule="auto"/>
        <w:ind w:firstLine="420" w:firstLineChars="200"/>
        <w:jc w:val="left"/>
        <w:rPr>
          <w:rFonts w:ascii="宋体" w:hAnsi="宋体" w:cs="宋体"/>
          <w:szCs w:val="21"/>
        </w:rPr>
      </w:pPr>
      <w:r>
        <w:rPr>
          <w:rFonts w:hint="eastAsia" w:ascii="宋体" w:hAnsi="宋体" w:cs="宋体"/>
          <w:szCs w:val="21"/>
        </w:rPr>
        <w:t>13、中标方应制定管理制度，履行服务责任，安排、调换服务人员须得到采购人的同意。因中标方自身原因引发管理或劳资纠纷的，由中标方承担由此引发的全部责任。</w:t>
      </w:r>
    </w:p>
    <w:p>
      <w:pPr>
        <w:pStyle w:val="506"/>
        <w:wordWrap/>
        <w:snapToGrid w:val="0"/>
        <w:spacing w:afterLines="0" w:line="360" w:lineRule="auto"/>
        <w:ind w:firstLine="436"/>
        <w:rPr>
          <w:rFonts w:cs="Times New Roman"/>
          <w:snapToGrid/>
          <w:spacing w:val="0"/>
          <w:sz w:val="21"/>
          <w:szCs w:val="21"/>
        </w:rPr>
      </w:pPr>
      <w:r>
        <w:rPr>
          <w:rFonts w:hint="eastAsia"/>
          <w:sz w:val="21"/>
          <w:szCs w:val="21"/>
        </w:rPr>
        <w:t>14、相关责任：因工作失职或故意行为或违法犯罪行为造成财产经济损失的，中标方应根据公安机关的立案调查结果或法院判决，承担相应的赔偿责任；因中标方自身原因所引发的一切纠纷，由中标方负完全责任；因中标方自身原因导致纠纷扩大或未能减小相关损失的，由中标方承担相应责任；服务人员在非工作时间内发生的人身意外或其他纠纷，由中标方负责处理。如中标方挪用服务人员工资和其他薪酬、社会保险和商业保险投保费用，除承担由此引发的一切法律责任外，采购人有权中止服务合同。</w:t>
      </w:r>
    </w:p>
    <w:p>
      <w:pPr>
        <w:pStyle w:val="321"/>
        <w:ind w:firstLine="0" w:firstLineChars="0"/>
        <w:rPr>
          <w:b/>
        </w:rPr>
      </w:pPr>
    </w:p>
    <w:p>
      <w:pPr>
        <w:pStyle w:val="321"/>
        <w:ind w:firstLine="0" w:firstLineChars="0"/>
        <w:rPr>
          <w:b/>
        </w:rPr>
      </w:pPr>
      <w:r>
        <w:rPr>
          <w:rFonts w:hint="eastAsia"/>
          <w:b/>
        </w:rPr>
        <w:t>三、项目商务要求</w:t>
      </w:r>
    </w:p>
    <w:p>
      <w:pPr>
        <w:pStyle w:val="255"/>
        <w:spacing w:beforeLines="0" w:line="360" w:lineRule="auto"/>
        <w:ind w:firstLine="0" w:firstLineChars="0"/>
        <w:rPr>
          <w:rFonts w:asciiTheme="minorEastAsia" w:hAnsiTheme="minorEastAsia" w:eastAsiaTheme="minorEastAsia"/>
          <w:b/>
          <w:highlight w:val="yellow"/>
        </w:rPr>
      </w:pPr>
      <w:r>
        <w:rPr>
          <w:rFonts w:hint="eastAsia" w:asciiTheme="minorEastAsia" w:hAnsiTheme="minorEastAsia" w:eastAsiaTheme="minorEastAsia"/>
          <w:highlight w:val="yellow"/>
        </w:rPr>
        <w:t>★</w:t>
      </w:r>
      <w:r>
        <w:rPr>
          <w:rFonts w:hint="eastAsia" w:asciiTheme="minorEastAsia" w:hAnsiTheme="minorEastAsia" w:eastAsiaTheme="minorEastAsia"/>
          <w:b/>
          <w:highlight w:val="yellow"/>
        </w:rPr>
        <w:t>（一）服务期限：</w:t>
      </w:r>
    </w:p>
    <w:p>
      <w:pPr>
        <w:pStyle w:val="255"/>
        <w:spacing w:beforeLines="0" w:line="360" w:lineRule="auto"/>
        <w:ind w:firstLine="424" w:firstLineChars="201"/>
        <w:rPr>
          <w:rFonts w:asciiTheme="minorEastAsia" w:hAnsiTheme="minorEastAsia" w:eastAsiaTheme="minorEastAsia"/>
          <w:b/>
        </w:rPr>
      </w:pPr>
      <w:r>
        <w:rPr>
          <w:rFonts w:hint="eastAsia" w:asciiTheme="minorEastAsia" w:hAnsiTheme="minorEastAsia" w:eastAsiaTheme="minorEastAsia"/>
          <w:b/>
          <w:highlight w:val="yellow"/>
        </w:rPr>
        <w:t>本项目服务期限202</w:t>
      </w:r>
      <w:r>
        <w:rPr>
          <w:rFonts w:asciiTheme="minorEastAsia" w:hAnsiTheme="minorEastAsia" w:eastAsiaTheme="minorEastAsia"/>
          <w:b/>
          <w:highlight w:val="yellow"/>
        </w:rPr>
        <w:t>4</w:t>
      </w:r>
      <w:r>
        <w:rPr>
          <w:rFonts w:hint="eastAsia" w:asciiTheme="minorEastAsia" w:hAnsiTheme="minorEastAsia" w:eastAsiaTheme="minorEastAsia"/>
          <w:b/>
          <w:highlight w:val="yellow"/>
        </w:rPr>
        <w:t>年4月1日至202</w:t>
      </w:r>
      <w:r>
        <w:rPr>
          <w:rFonts w:asciiTheme="minorEastAsia" w:hAnsiTheme="minorEastAsia" w:eastAsiaTheme="minorEastAsia"/>
          <w:b/>
          <w:highlight w:val="yellow"/>
        </w:rPr>
        <w:t>5</w:t>
      </w:r>
      <w:r>
        <w:rPr>
          <w:rFonts w:hint="eastAsia" w:asciiTheme="minorEastAsia" w:hAnsiTheme="minorEastAsia" w:eastAsiaTheme="minorEastAsia"/>
          <w:b/>
          <w:highlight w:val="yellow"/>
        </w:rPr>
        <w:t>年3月31日。本项目为长期服务，合同期限可以延长，但最长不超过三十六个月</w:t>
      </w:r>
      <w:r>
        <w:rPr>
          <w:rFonts w:asciiTheme="minorEastAsia" w:hAnsiTheme="minorEastAsia" w:eastAsiaTheme="minorEastAsia"/>
          <w:b/>
          <w:highlight w:val="yellow"/>
        </w:rPr>
        <w:t>，具体期限由采购人根据中标人履约情况考核确定。合同每年签订一次，中标人履约情况经考核符合合同续期标准的，第二年和第三年可逐年签订续期合同。</w:t>
      </w: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（二）服务地点：</w:t>
      </w:r>
    </w:p>
    <w:p>
      <w:pPr>
        <w:pStyle w:val="255"/>
        <w:spacing w:beforeLines="0" w:line="360" w:lineRule="auto"/>
        <w:ind w:firstLine="424" w:firstLineChars="202"/>
        <w:rPr>
          <w:rFonts w:asciiTheme="minorEastAsia" w:hAnsiTheme="minorEastAsia" w:eastAsiaTheme="minorEastAsia"/>
          <w:b/>
        </w:rPr>
      </w:pPr>
      <w:r>
        <w:rPr>
          <w:rFonts w:hint="eastAsia" w:asciiTheme="minorEastAsia" w:hAnsiTheme="minorEastAsia" w:eastAsiaTheme="minorEastAsia"/>
          <w:bCs/>
        </w:rPr>
        <w:t>广东省深圳市，采购人指定地点。</w:t>
      </w: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（三）报价要求：</w:t>
      </w:r>
    </w:p>
    <w:p>
      <w:pPr>
        <w:spacing w:line="360" w:lineRule="auto"/>
        <w:ind w:firstLine="420" w:firstLineChars="200"/>
        <w:jc w:val="left"/>
        <w:rPr>
          <w:rFonts w:ascii="宋体" w:hAnsi="宋体"/>
          <w:szCs w:val="21"/>
        </w:rPr>
      </w:pPr>
      <w:r>
        <w:rPr>
          <w:rFonts w:hint="eastAsia" w:ascii="宋体" w:hAnsi="宋体"/>
          <w:szCs w:val="21"/>
        </w:rPr>
        <w:t>投标人报价应以人民币报价，包括但不限于管理费用、人员费用、税费、生产材料费用、设施硬件配置费用等与完成本项目服务工作有关的全部费用。</w:t>
      </w: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（四）付款方式：</w:t>
      </w:r>
    </w:p>
    <w:p>
      <w:pPr>
        <w:pStyle w:val="456"/>
        <w:spacing w:before="0" w:beforeAutospacing="0" w:after="0" w:afterAutospacing="0" w:line="360" w:lineRule="auto"/>
        <w:ind w:firstLine="420" w:firstLineChars="200"/>
        <w:rPr>
          <w:sz w:val="21"/>
          <w:szCs w:val="21"/>
        </w:rPr>
      </w:pPr>
      <w:r>
        <w:rPr>
          <w:rFonts w:hint="eastAsia"/>
          <w:sz w:val="21"/>
          <w:szCs w:val="21"/>
        </w:rPr>
        <w:t>合同签订后，中标方提供符合规定的发票后</w:t>
      </w:r>
      <w:r>
        <w:rPr>
          <w:sz w:val="21"/>
          <w:szCs w:val="21"/>
        </w:rPr>
        <w:t>15</w:t>
      </w:r>
      <w:r>
        <w:rPr>
          <w:rFonts w:hint="eastAsia"/>
          <w:sz w:val="21"/>
          <w:szCs w:val="21"/>
        </w:rPr>
        <w:t>日内，采购人支付5</w:t>
      </w:r>
      <w:r>
        <w:rPr>
          <w:sz w:val="21"/>
          <w:szCs w:val="21"/>
        </w:rPr>
        <w:t>0%</w:t>
      </w:r>
      <w:r>
        <w:rPr>
          <w:rFonts w:hint="eastAsia"/>
          <w:sz w:val="21"/>
          <w:szCs w:val="21"/>
        </w:rPr>
        <w:t>合同款；自2</w:t>
      </w:r>
      <w:r>
        <w:rPr>
          <w:sz w:val="21"/>
          <w:szCs w:val="21"/>
        </w:rPr>
        <w:t>024</w:t>
      </w:r>
      <w:r>
        <w:rPr>
          <w:rFonts w:hint="eastAsia"/>
          <w:sz w:val="21"/>
          <w:szCs w:val="21"/>
        </w:rPr>
        <w:t>年4月1日起服务期满五个月，中标方提供符合规定的服务报告及发票后1</w:t>
      </w:r>
      <w:r>
        <w:rPr>
          <w:sz w:val="21"/>
          <w:szCs w:val="21"/>
        </w:rPr>
        <w:t>5</w:t>
      </w:r>
      <w:r>
        <w:rPr>
          <w:rFonts w:hint="eastAsia"/>
          <w:sz w:val="21"/>
          <w:szCs w:val="21"/>
        </w:rPr>
        <w:t>日内，采购人支付4</w:t>
      </w:r>
      <w:r>
        <w:rPr>
          <w:sz w:val="21"/>
          <w:szCs w:val="21"/>
        </w:rPr>
        <w:t>5%</w:t>
      </w:r>
      <w:r>
        <w:rPr>
          <w:rFonts w:hint="eastAsia"/>
          <w:sz w:val="21"/>
          <w:szCs w:val="21"/>
        </w:rPr>
        <w:t>合同款；2</w:t>
      </w:r>
      <w:r>
        <w:rPr>
          <w:sz w:val="21"/>
          <w:szCs w:val="21"/>
        </w:rPr>
        <w:t>024</w:t>
      </w:r>
      <w:r>
        <w:rPr>
          <w:rFonts w:hint="eastAsia"/>
          <w:sz w:val="21"/>
          <w:szCs w:val="21"/>
        </w:rPr>
        <w:t>年12月10日前，中标方提供符合规定的服务报告及发票后1</w:t>
      </w:r>
      <w:r>
        <w:rPr>
          <w:sz w:val="21"/>
          <w:szCs w:val="21"/>
        </w:rPr>
        <w:t>5</w:t>
      </w:r>
      <w:r>
        <w:rPr>
          <w:rFonts w:hint="eastAsia"/>
          <w:sz w:val="21"/>
          <w:szCs w:val="21"/>
        </w:rPr>
        <w:t>日内，采购人支付</w:t>
      </w:r>
      <w:r>
        <w:rPr>
          <w:sz w:val="21"/>
          <w:szCs w:val="21"/>
        </w:rPr>
        <w:t>5%</w:t>
      </w:r>
      <w:r>
        <w:rPr>
          <w:rFonts w:hint="eastAsia"/>
          <w:sz w:val="21"/>
          <w:szCs w:val="21"/>
        </w:rPr>
        <w:t>合同款。</w:t>
      </w: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rPr>
          <w:szCs w:val="21"/>
        </w:rPr>
      </w:pPr>
      <w:r>
        <w:rPr>
          <w:szCs w:val="21"/>
        </w:rPr>
        <w:br w:type="page"/>
      </w:r>
    </w:p>
    <w:p>
      <w:pPr>
        <w:pStyle w:val="456"/>
        <w:spacing w:before="0" w:beforeAutospacing="0" w:after="0" w:afterAutospacing="0" w:line="360" w:lineRule="auto"/>
        <w:rPr>
          <w:sz w:val="21"/>
          <w:szCs w:val="21"/>
        </w:rPr>
      </w:pPr>
    </w:p>
    <w:p>
      <w:pPr>
        <w:pStyle w:val="2"/>
      </w:pPr>
      <w:bookmarkStart w:id="2" w:name="_Toc135293161"/>
      <w:r>
        <w:rPr>
          <w:rFonts w:hint="eastAsia"/>
        </w:rPr>
        <w:t>第三章  投标文件初审</w:t>
      </w:r>
      <w:bookmarkEnd w:id="2"/>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请评委重点审查供应商是否存在《深圳经济特区政府采购条例实施细则》第七十九条规定的串通投标情形：</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（一）投标供应商之间相互约定给予未中标的供应商利益补偿；</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（二）不同投标供应商的法定代表人、主要经营负责人、项目投标授权代表人、项目负责人、主要技术人员为同一人、属同一单位或者在同一单位缴纳社会保险；</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（三）不同投标供应商的投标文件由同一单位或者同一人编制，或者由同一人分阶段参与编制的；</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（四）不同投标供应商的投标文件或部分投标文件相互混装；</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（五）不同投标供应商的投标文件内容存在非正常一致；</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（六）由同一单位工作人员为两家以上（含两家）供应商进行同一项投标活动的；</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（七）主管部门依照法律、法规认定的其他情形。</w:t>
      </w:r>
    </w:p>
    <w:p>
      <w:pPr>
        <w:adjustRightInd w:val="0"/>
        <w:spacing w:line="360" w:lineRule="auto"/>
        <w:rPr>
          <w:snapToGrid w:val="0"/>
          <w:kern w:val="0"/>
        </w:rPr>
      </w:pPr>
    </w:p>
    <w:p>
      <w:pPr>
        <w:adjustRightInd w:val="0"/>
        <w:spacing w:line="360" w:lineRule="auto"/>
        <w:ind w:firstLine="422" w:firstLineChars="201"/>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二、符合性审查</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3、未按招标文件要求提供法定代表人（负责人）证明书和法定代表人（负责人）授权委托书。</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6、投标报价有严重缺漏项的。</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9、将一个项目包拆分投标，同时提供两套或以上的投标方案</w:t>
      </w:r>
      <w:r>
        <w:rPr>
          <w:szCs w:val="21"/>
        </w:rPr>
        <w:t>（招标文件另有规定的除外）</w:t>
      </w:r>
      <w:r>
        <w:rPr>
          <w:rFonts w:hint="eastAsia" w:ascii="宋体" w:hAnsi="宋体"/>
          <w:snapToGrid w:val="0"/>
          <w:kern w:val="0"/>
        </w:rPr>
        <w:t>。</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13、法律法规规定的其它情形。</w:t>
      </w:r>
    </w:p>
    <w:p/>
    <w:p/>
    <w:p/>
    <w:p/>
    <w:p/>
    <w:p/>
    <w:p/>
    <w:p/>
    <w:p/>
    <w:p/>
    <w:p/>
    <w:p/>
    <w:p/>
    <w:p/>
    <w:p/>
    <w:p/>
    <w:p/>
    <w:p/>
    <w:p/>
    <w:p/>
    <w:p/>
    <w:p/>
    <w:p/>
    <w:p/>
    <w:p/>
    <w:p/>
    <w:p/>
    <w:p/>
    <w:p/>
    <w:p/>
    <w:p/>
    <w:p/>
    <w:p/>
    <w:p/>
    <w:p/>
    <w:p/>
    <w:p/>
    <w:p/>
    <w:p/>
    <w:p/>
    <w:p/>
    <w:p>
      <w:pPr>
        <w:pStyle w:val="2"/>
        <w:spacing w:after="0"/>
      </w:pPr>
      <w:bookmarkStart w:id="3" w:name="_Toc135293162"/>
      <w:r>
        <w:rPr>
          <w:rFonts w:hint="eastAsia"/>
        </w:rPr>
        <w:t>第四章  评标方法和标准</w:t>
      </w:r>
      <w:bookmarkEnd w:id="3"/>
    </w:p>
    <w:p/>
    <w:p>
      <w:pPr>
        <w:pStyle w:val="4"/>
        <w:spacing w:before="0" w:after="0"/>
      </w:pPr>
      <w:bookmarkStart w:id="4" w:name="_Toc135293163"/>
      <w:bookmarkStart w:id="5" w:name="_Toc44690429"/>
      <w:bookmarkStart w:id="6" w:name="_Toc44691393"/>
      <w:bookmarkStart w:id="7" w:name="_Toc44690702"/>
      <w:bookmarkStart w:id="8" w:name="_Toc44691161"/>
      <w:r>
        <w:rPr>
          <w:rFonts w:hint="eastAsia"/>
        </w:rPr>
        <w:t>一、</w:t>
      </w:r>
      <w:r>
        <w:t>评标方法</w:t>
      </w:r>
      <w:bookmarkEnd w:id="4"/>
      <w:bookmarkEnd w:id="5"/>
      <w:bookmarkEnd w:id="6"/>
      <w:bookmarkEnd w:id="7"/>
      <w:bookmarkEnd w:id="8"/>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综合评分法，是指在最大限度地满足招标文件实质性要求的前提下，按照招标文件中规定的各项因素进行综合评审，评标总得分排名前列的投标人，作为推荐的候选中标供应商。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3、中标供应商及候选中标供应商数量：</w:t>
      </w:r>
      <w:r>
        <w:rPr>
          <w:rFonts w:hint="eastAsia" w:cs="仿宋" w:asciiTheme="minorEastAsia" w:hAnsiTheme="minorEastAsia" w:eastAsiaTheme="minorEastAsia"/>
          <w:kern w:val="2"/>
          <w:sz w:val="21"/>
          <w:szCs w:val="21"/>
        </w:rPr>
        <w:t>中标供应商数量：1名，候选中标供应商数量：1名。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”中的各项评审因素，对通过资格性审查和符合性审查的所有投标人的投标文件进行独立评审，并汇总每个投标人的得分，取算术平均值后确定其评审得分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排名结果按投标人评审得分由高到低顺序排列。得分相同的，按投标报价由低到高顺序排列。出现得分且投标报价相同的并列情况时，采取随机抽取的方式排名，具体操作办法及流程由评标委员会确定。</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5、推荐候选中标供应商：</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作为候选中标供应商。</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6、确定中标供应商：</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非评定分离项目：采购人在评标报告确定的候选中标供应商名单中按顺序确定1名中标供应商。</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4"/>
        <w:spacing w:before="0" w:after="0"/>
      </w:pPr>
      <w:bookmarkStart w:id="9" w:name="_Toc135293164"/>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评标委员会按照以下量化的评审因素，对各投标文件进行综合评审：</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widowControl/>
              <w:spacing w:line="360" w:lineRule="exact"/>
              <w:jc w:val="left"/>
              <w:rPr>
                <w:rFonts w:ascii="宋体" w:hAnsi="宋体" w:cs="仿宋"/>
                <w:szCs w:val="21"/>
              </w:rPr>
            </w:pPr>
            <w:r>
              <w:rPr>
                <w:rFonts w:hint="eastAsia" w:ascii="宋体" w:hAnsi="宋体" w:cs="仿宋"/>
                <w:szCs w:val="21"/>
              </w:rPr>
              <w:t>价格分采用低价优先法计算，即满足招标文件要求且投标价格最低的投标报价为评标基准价，其价格分为满分。其他投标人的价格分统一按照下列公式计算：</w:t>
            </w:r>
          </w:p>
          <w:p>
            <w:pPr>
              <w:widowControl/>
              <w:spacing w:line="360" w:lineRule="exact"/>
              <w:jc w:val="left"/>
              <w:rPr>
                <w:rFonts w:ascii="宋体" w:hAnsi="宋体" w:cs="仿宋"/>
                <w:szCs w:val="21"/>
              </w:rPr>
            </w:pPr>
            <w:r>
              <w:rPr>
                <w:rFonts w:hint="eastAsia" w:ascii="宋体" w:hAnsi="宋体" w:cs="仿宋"/>
                <w:szCs w:val="21"/>
              </w:rPr>
              <w:t>投标报价得分=(评标基准价／投标报价)×权重</w:t>
            </w:r>
          </w:p>
          <w:p>
            <w:pPr>
              <w:adjustRightInd w:val="0"/>
              <w:snapToGrid w:val="0"/>
              <w:spacing w:line="360" w:lineRule="exact"/>
              <w:rPr>
                <w:rFonts w:ascii="宋体" w:hAnsi="宋体"/>
                <w:snapToGrid w:val="0"/>
                <w:kern w:val="0"/>
                <w:szCs w:val="21"/>
              </w:rPr>
            </w:pPr>
            <w:r>
              <w:rPr>
                <w:rFonts w:hint="eastAsia" w:ascii="宋体" w:hAnsi="宋体"/>
                <w:snapToGrid w:val="0"/>
                <w:kern w:val="0"/>
                <w:szCs w:val="21"/>
              </w:rPr>
              <w:t>备注：</w:t>
            </w:r>
          </w:p>
          <w:p>
            <w:pPr>
              <w:adjustRightInd w:val="0"/>
              <w:snapToGrid w:val="0"/>
              <w:spacing w:line="360" w:lineRule="exact"/>
              <w:rPr>
                <w:rFonts w:ascii="宋体" w:hAnsi="宋体"/>
                <w:bCs/>
                <w:snapToGrid w:val="0"/>
                <w:kern w:val="0"/>
              </w:rPr>
            </w:pPr>
            <w:r>
              <w:rPr>
                <w:rFonts w:hint="eastAsia" w:ascii="宋体" w:hAnsi="宋体"/>
                <w:snapToGrid w:val="0"/>
                <w:kern w:val="0"/>
                <w:szCs w:val="21"/>
              </w:rPr>
              <w:t>1、因落实政府采购政策进行价格调整的，以调整后的价格计算评标基准价和投标报价</w:t>
            </w:r>
            <w:r>
              <w:rPr>
                <w:rFonts w:hint="eastAsia" w:ascii="宋体" w:hAnsi="宋体"/>
                <w:bCs/>
                <w:snapToGrid w:val="0"/>
                <w:kern w:val="0"/>
              </w:rPr>
              <w:t>；</w:t>
            </w:r>
          </w:p>
          <w:p>
            <w:pPr>
              <w:autoSpaceDE w:val="0"/>
              <w:autoSpaceDN w:val="0"/>
              <w:adjustRightInd w:val="0"/>
              <w:spacing w:line="360" w:lineRule="exact"/>
              <w:jc w:val="left"/>
              <w:rPr>
                <w:rFonts w:cs="仿宋" w:asciiTheme="minorEastAsia" w:hAnsiTheme="minorEastAsia" w:eastAsiaTheme="minorEastAsia"/>
                <w:szCs w:val="21"/>
              </w:rPr>
            </w:pPr>
            <w:r>
              <w:rPr>
                <w:rFonts w:hint="eastAsia" w:ascii="宋体" w:hAnsi="宋体"/>
                <w:snapToGrid w:val="0"/>
                <w:kern w:val="0"/>
                <w:szCs w:val="21"/>
              </w:rPr>
              <w:t>2、投标报价得分四舍五入后，小数点后保留两位有效数</w:t>
            </w:r>
            <w:r>
              <w:rPr>
                <w:rFonts w:hint="eastAsia" w:cs="仿宋" w:asciiTheme="minorEastAsia" w:hAnsiTheme="minorEastAsia" w:eastAsiaTheme="minorEastAsia"/>
                <w:szCs w:val="21"/>
              </w:rPr>
              <w:t>。</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53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47"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kern w:val="0"/>
                <w:szCs w:val="21"/>
              </w:rPr>
            </w:pPr>
            <w:r>
              <w:rPr>
                <w:rFonts w:hint="eastAsia" w:ascii="宋体" w:hAnsi="宋体" w:cs="宋体"/>
                <w:szCs w:val="21"/>
              </w:rPr>
              <w:t>服务方案</w:t>
            </w:r>
          </w:p>
        </w:tc>
        <w:tc>
          <w:tcPr>
            <w:tcW w:w="709" w:type="dxa"/>
            <w:vAlign w:val="center"/>
          </w:tcPr>
          <w:p>
            <w:pPr>
              <w:widowControl/>
              <w:spacing w:line="360" w:lineRule="exact"/>
              <w:jc w:val="center"/>
              <w:rPr>
                <w:rFonts w:ascii="宋体" w:hAnsi="宋体"/>
                <w:kern w:val="0"/>
                <w:szCs w:val="21"/>
              </w:rPr>
            </w:pPr>
            <w:r>
              <w:rPr>
                <w:rFonts w:hint="eastAsia" w:ascii="宋体" w:hAnsi="宋体" w:cs="宋体"/>
                <w:kern w:val="0"/>
                <w:szCs w:val="21"/>
              </w:rPr>
              <w:t>26</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utoSpaceDE w:val="0"/>
              <w:autoSpaceDN w:val="0"/>
              <w:adjustRightInd w:val="0"/>
              <w:spacing w:line="360" w:lineRule="exact"/>
              <w:rPr>
                <w:rFonts w:asciiTheme="minorEastAsia" w:hAnsiTheme="minorEastAsia" w:eastAsiaTheme="minorEastAsia"/>
                <w:kern w:val="0"/>
                <w:szCs w:val="21"/>
              </w:rPr>
            </w:pPr>
            <w:r>
              <w:rPr>
                <w:rFonts w:asciiTheme="minorEastAsia" w:hAnsiTheme="minorEastAsia" w:eastAsiaTheme="minorEastAsia"/>
                <w:kern w:val="0"/>
                <w:szCs w:val="21"/>
              </w:rPr>
              <w:t>投标人结合本项目</w:t>
            </w:r>
            <w:r>
              <w:rPr>
                <w:rFonts w:hint="eastAsia" w:asciiTheme="minorEastAsia" w:hAnsiTheme="minorEastAsia" w:eastAsiaTheme="minorEastAsia"/>
                <w:kern w:val="0"/>
                <w:szCs w:val="21"/>
              </w:rPr>
              <w:t>需求</w:t>
            </w:r>
            <w:r>
              <w:rPr>
                <w:rFonts w:asciiTheme="minorEastAsia" w:hAnsiTheme="minorEastAsia" w:eastAsiaTheme="minorEastAsia"/>
                <w:kern w:val="0"/>
                <w:szCs w:val="21"/>
              </w:rPr>
              <w:t>提供项目实施方案,应包括：</w:t>
            </w:r>
          </w:p>
          <w:p>
            <w:pPr>
              <w:autoSpaceDE w:val="0"/>
              <w:autoSpaceDN w:val="0"/>
              <w:adjustRightInd w:val="0"/>
              <w:spacing w:line="360" w:lineRule="exact"/>
              <w:rPr>
                <w:rFonts w:asciiTheme="minorEastAsia" w:hAnsiTheme="minorEastAsia" w:eastAsiaTheme="minorEastAsia"/>
                <w:kern w:val="0"/>
                <w:szCs w:val="21"/>
              </w:rPr>
            </w:pPr>
            <w:r>
              <w:rPr>
                <w:rFonts w:asciiTheme="minorEastAsia" w:hAnsiTheme="minorEastAsia" w:eastAsiaTheme="minorEastAsia"/>
                <w:kern w:val="0"/>
                <w:szCs w:val="21"/>
              </w:rPr>
              <w:t>1</w:t>
            </w:r>
            <w:r>
              <w:rPr>
                <w:rFonts w:hint="eastAsia" w:asciiTheme="minorEastAsia" w:hAnsiTheme="minorEastAsia" w:eastAsiaTheme="minorEastAsia"/>
                <w:kern w:val="0"/>
                <w:szCs w:val="21"/>
              </w:rPr>
              <w:t>.</w:t>
            </w:r>
            <w:r>
              <w:rPr>
                <w:rFonts w:asciiTheme="minorEastAsia" w:hAnsiTheme="minorEastAsia" w:eastAsiaTheme="minorEastAsia"/>
                <w:kern w:val="0"/>
                <w:szCs w:val="21"/>
              </w:rPr>
              <w:t>整体管理</w:t>
            </w:r>
            <w:r>
              <w:rPr>
                <w:rFonts w:hint="eastAsia" w:asciiTheme="minorEastAsia" w:hAnsiTheme="minorEastAsia" w:eastAsiaTheme="minorEastAsia"/>
                <w:kern w:val="0"/>
                <w:szCs w:val="21"/>
              </w:rPr>
              <w:t>思路</w:t>
            </w:r>
            <w:r>
              <w:rPr>
                <w:rFonts w:asciiTheme="minorEastAsia" w:hAnsiTheme="minorEastAsia" w:eastAsiaTheme="minorEastAsia"/>
                <w:kern w:val="0"/>
                <w:szCs w:val="21"/>
              </w:rPr>
              <w:t>；</w:t>
            </w:r>
          </w:p>
          <w:p>
            <w:pPr>
              <w:autoSpaceDE w:val="0"/>
              <w:autoSpaceDN w:val="0"/>
              <w:adjustRightInd w:val="0"/>
              <w:spacing w:line="360" w:lineRule="exact"/>
              <w:rPr>
                <w:rFonts w:asciiTheme="minorEastAsia" w:hAnsiTheme="minorEastAsia" w:eastAsiaTheme="minorEastAsia"/>
                <w:kern w:val="0"/>
                <w:szCs w:val="21"/>
              </w:rPr>
            </w:pPr>
            <w:r>
              <w:rPr>
                <w:rFonts w:asciiTheme="minorEastAsia" w:hAnsiTheme="minorEastAsia" w:eastAsiaTheme="minorEastAsia"/>
                <w:kern w:val="0"/>
                <w:szCs w:val="21"/>
              </w:rPr>
              <w:t>2</w:t>
            </w:r>
            <w:r>
              <w:rPr>
                <w:rFonts w:hint="eastAsia" w:asciiTheme="minorEastAsia" w:hAnsiTheme="minorEastAsia" w:eastAsiaTheme="minorEastAsia"/>
                <w:kern w:val="0"/>
                <w:szCs w:val="21"/>
              </w:rPr>
              <w:t>.</w:t>
            </w:r>
            <w:r>
              <w:rPr>
                <w:rFonts w:asciiTheme="minorEastAsia" w:hAnsiTheme="minorEastAsia" w:eastAsiaTheme="minorEastAsia"/>
                <w:kern w:val="0"/>
                <w:szCs w:val="21"/>
              </w:rPr>
              <w:t>整体运作规划；</w:t>
            </w:r>
          </w:p>
          <w:p>
            <w:pPr>
              <w:autoSpaceDE w:val="0"/>
              <w:autoSpaceDN w:val="0"/>
              <w:adjustRightInd w:val="0"/>
              <w:spacing w:line="360" w:lineRule="exact"/>
              <w:rPr>
                <w:rFonts w:asciiTheme="minorEastAsia" w:hAnsiTheme="minorEastAsia" w:eastAsiaTheme="minorEastAsia"/>
                <w:kern w:val="0"/>
                <w:szCs w:val="21"/>
              </w:rPr>
            </w:pPr>
            <w:r>
              <w:rPr>
                <w:rFonts w:asciiTheme="minorEastAsia" w:hAnsiTheme="minorEastAsia" w:eastAsiaTheme="minorEastAsia"/>
                <w:kern w:val="0"/>
                <w:szCs w:val="21"/>
              </w:rPr>
              <w:t>3</w:t>
            </w:r>
            <w:r>
              <w:rPr>
                <w:rFonts w:hint="eastAsia" w:asciiTheme="minorEastAsia" w:hAnsiTheme="minorEastAsia" w:eastAsiaTheme="minorEastAsia"/>
                <w:kern w:val="0"/>
                <w:szCs w:val="21"/>
              </w:rPr>
              <w:t>.</w:t>
            </w:r>
            <w:r>
              <w:rPr>
                <w:rFonts w:asciiTheme="minorEastAsia" w:hAnsiTheme="minorEastAsia" w:eastAsiaTheme="minorEastAsia"/>
                <w:kern w:val="0"/>
                <w:szCs w:val="21"/>
              </w:rPr>
              <w:t>组织机构</w:t>
            </w:r>
            <w:r>
              <w:rPr>
                <w:rFonts w:hint="eastAsia" w:asciiTheme="minorEastAsia" w:hAnsiTheme="minorEastAsia" w:eastAsiaTheme="minorEastAsia"/>
                <w:kern w:val="0"/>
                <w:szCs w:val="21"/>
              </w:rPr>
              <w:t>及</w:t>
            </w:r>
            <w:r>
              <w:rPr>
                <w:rFonts w:asciiTheme="minorEastAsia" w:hAnsiTheme="minorEastAsia" w:eastAsiaTheme="minorEastAsia"/>
                <w:kern w:val="0"/>
                <w:szCs w:val="21"/>
              </w:rPr>
              <w:t>服务团队配置</w:t>
            </w:r>
            <w:r>
              <w:rPr>
                <w:rFonts w:hint="eastAsia" w:asciiTheme="minorEastAsia" w:hAnsiTheme="minorEastAsia" w:eastAsiaTheme="minorEastAsia"/>
                <w:kern w:val="0"/>
                <w:szCs w:val="21"/>
              </w:rPr>
              <w:t>；</w:t>
            </w:r>
          </w:p>
          <w:p>
            <w:pPr>
              <w:autoSpaceDE w:val="0"/>
              <w:autoSpaceDN w:val="0"/>
              <w:adjustRightInd w:val="0"/>
              <w:spacing w:line="36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4.</w:t>
            </w:r>
            <w:r>
              <w:rPr>
                <w:rFonts w:asciiTheme="minorEastAsia" w:hAnsiTheme="minorEastAsia" w:eastAsiaTheme="minorEastAsia"/>
                <w:kern w:val="0"/>
                <w:szCs w:val="21"/>
              </w:rPr>
              <w:t>人员</w:t>
            </w:r>
            <w:r>
              <w:rPr>
                <w:rFonts w:hint="eastAsia" w:asciiTheme="minorEastAsia" w:hAnsiTheme="minorEastAsia" w:eastAsiaTheme="minorEastAsia"/>
                <w:kern w:val="0"/>
                <w:szCs w:val="21"/>
              </w:rPr>
              <w:t>培训计划</w:t>
            </w:r>
            <w:r>
              <w:rPr>
                <w:rFonts w:asciiTheme="minorEastAsia" w:hAnsiTheme="minorEastAsia" w:eastAsiaTheme="minorEastAsia"/>
                <w:kern w:val="0"/>
                <w:szCs w:val="21"/>
              </w:rPr>
              <w:t>；</w:t>
            </w:r>
          </w:p>
          <w:p>
            <w:pPr>
              <w:autoSpaceDE w:val="0"/>
              <w:autoSpaceDN w:val="0"/>
              <w:adjustRightInd w:val="0"/>
              <w:spacing w:line="36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5.</w:t>
            </w:r>
            <w:r>
              <w:rPr>
                <w:rFonts w:asciiTheme="minorEastAsia" w:hAnsiTheme="minorEastAsia" w:eastAsiaTheme="minorEastAsia"/>
                <w:kern w:val="0"/>
                <w:szCs w:val="21"/>
              </w:rPr>
              <w:t>管理措施</w:t>
            </w:r>
            <w:r>
              <w:rPr>
                <w:rFonts w:hint="eastAsia" w:asciiTheme="minorEastAsia" w:hAnsiTheme="minorEastAsia" w:eastAsiaTheme="minorEastAsia"/>
                <w:kern w:val="0"/>
                <w:szCs w:val="21"/>
              </w:rPr>
              <w:t>。</w:t>
            </w:r>
          </w:p>
          <w:p>
            <w:pPr>
              <w:autoSpaceDE w:val="0"/>
              <w:autoSpaceDN w:val="0"/>
              <w:adjustRightInd w:val="0"/>
              <w:spacing w:line="360" w:lineRule="exact"/>
              <w:jc w:val="left"/>
              <w:rPr>
                <w:rFonts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（二）评分标准：</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方案包含以上五项内容得10分；包含以上四项内容得8分；包含以上三项内容得6分；包含以上二项内容得4分；包含以上一项内容得2分；其他情况不得分。在此基础上，根据方案响应情况进一步评审：</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1.方案内容全面、具体，可行性高，加16分；</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2.方案内容较全面，可行性较高，加10分；</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3.方案全面性、可行性一般，加4分；</w:t>
            </w:r>
          </w:p>
          <w:p>
            <w:pPr>
              <w:pStyle w:val="94"/>
              <w:spacing w:line="360" w:lineRule="exact"/>
              <w:ind w:firstLine="0" w:firstLineChars="0"/>
              <w:rPr>
                <w:rFonts w:ascii="宋体" w:hAnsi="宋体"/>
                <w:kern w:val="0"/>
                <w:szCs w:val="21"/>
              </w:rPr>
            </w:pPr>
            <w:r>
              <w:rPr>
                <w:rFonts w:hint="eastAsia" w:asciiTheme="minorEastAsia" w:hAnsiTheme="minorEastAsia" w:eastAsiaTheme="minorEastAsia"/>
                <w:szCs w:val="21"/>
              </w:rPr>
              <w:t>4.方案不全，可行性低，不加分。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42"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widowControl/>
              <w:spacing w:line="360" w:lineRule="exact"/>
              <w:jc w:val="center"/>
              <w:rPr>
                <w:rFonts w:ascii="宋体" w:hAnsi="宋体"/>
                <w:kern w:val="0"/>
                <w:szCs w:val="21"/>
              </w:rPr>
            </w:pPr>
            <w:r>
              <w:rPr>
                <w:rFonts w:hint="eastAsia"/>
                <w:szCs w:val="21"/>
                <w:lang w:bidi="ar"/>
              </w:rPr>
              <w:t>人员管理方案</w:t>
            </w:r>
          </w:p>
        </w:tc>
        <w:tc>
          <w:tcPr>
            <w:tcW w:w="709" w:type="dxa"/>
            <w:vAlign w:val="center"/>
          </w:tcPr>
          <w:p>
            <w:pPr>
              <w:widowControl/>
              <w:spacing w:line="360" w:lineRule="exact"/>
              <w:jc w:val="center"/>
              <w:rPr>
                <w:rFonts w:ascii="宋体" w:hAnsi="宋体"/>
                <w:kern w:val="0"/>
                <w:szCs w:val="21"/>
              </w:rPr>
            </w:pPr>
            <w:r>
              <w:rPr>
                <w:rFonts w:hint="eastAsia" w:ascii="宋体" w:hAnsi="宋体"/>
                <w:szCs w:val="21"/>
              </w:rPr>
              <w:t>13</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utoSpaceDE w:val="0"/>
              <w:autoSpaceDN w:val="0"/>
              <w:adjustRightInd w:val="0"/>
              <w:spacing w:line="36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投标人结合</w:t>
            </w:r>
            <w:r>
              <w:rPr>
                <w:rFonts w:asciiTheme="minorEastAsia" w:hAnsiTheme="minorEastAsia" w:eastAsiaTheme="minorEastAsia"/>
                <w:kern w:val="0"/>
                <w:szCs w:val="21"/>
              </w:rPr>
              <w:t>本项目</w:t>
            </w:r>
            <w:r>
              <w:rPr>
                <w:rFonts w:hint="eastAsia" w:asciiTheme="minorEastAsia" w:hAnsiTheme="minorEastAsia" w:eastAsiaTheme="minorEastAsia"/>
                <w:kern w:val="0"/>
                <w:szCs w:val="21"/>
              </w:rPr>
              <w:t>实际情况，制订人员管理方案</w:t>
            </w:r>
            <w:r>
              <w:rPr>
                <w:rFonts w:asciiTheme="minorEastAsia" w:hAnsiTheme="minorEastAsia" w:eastAsiaTheme="minorEastAsia"/>
                <w:kern w:val="0"/>
                <w:szCs w:val="21"/>
              </w:rPr>
              <w:t>，至少包含：</w:t>
            </w:r>
          </w:p>
          <w:p>
            <w:pPr>
              <w:autoSpaceDE w:val="0"/>
              <w:autoSpaceDN w:val="0"/>
              <w:adjustRightInd w:val="0"/>
              <w:spacing w:line="360" w:lineRule="exact"/>
              <w:rPr>
                <w:rFonts w:asciiTheme="minorEastAsia" w:hAnsiTheme="minorEastAsia" w:eastAsiaTheme="minorEastAsia"/>
                <w:kern w:val="0"/>
                <w:szCs w:val="21"/>
              </w:rPr>
            </w:pPr>
            <w:r>
              <w:rPr>
                <w:rFonts w:asciiTheme="minorEastAsia" w:hAnsiTheme="minorEastAsia" w:eastAsiaTheme="minorEastAsia"/>
                <w:kern w:val="0"/>
                <w:szCs w:val="21"/>
              </w:rPr>
              <w:t>1</w:t>
            </w:r>
            <w:r>
              <w:rPr>
                <w:rFonts w:hint="eastAsia" w:asciiTheme="minorEastAsia" w:hAnsiTheme="minorEastAsia" w:eastAsiaTheme="minorEastAsia"/>
                <w:kern w:val="0"/>
                <w:szCs w:val="21"/>
              </w:rPr>
              <w:t>.人员招聘制度</w:t>
            </w:r>
            <w:r>
              <w:rPr>
                <w:rFonts w:asciiTheme="minorEastAsia" w:hAnsiTheme="minorEastAsia" w:eastAsiaTheme="minorEastAsia"/>
                <w:kern w:val="0"/>
                <w:szCs w:val="21"/>
              </w:rPr>
              <w:t>；</w:t>
            </w:r>
          </w:p>
          <w:p>
            <w:pPr>
              <w:autoSpaceDE w:val="0"/>
              <w:autoSpaceDN w:val="0"/>
              <w:adjustRightInd w:val="0"/>
              <w:spacing w:line="360" w:lineRule="exact"/>
              <w:rPr>
                <w:rFonts w:asciiTheme="minorEastAsia" w:hAnsiTheme="minorEastAsia" w:eastAsiaTheme="minorEastAsia"/>
                <w:kern w:val="0"/>
                <w:szCs w:val="21"/>
              </w:rPr>
            </w:pPr>
            <w:r>
              <w:rPr>
                <w:rFonts w:asciiTheme="minorEastAsia" w:hAnsiTheme="minorEastAsia" w:eastAsiaTheme="minorEastAsia"/>
                <w:kern w:val="0"/>
                <w:szCs w:val="21"/>
              </w:rPr>
              <w:t>2</w:t>
            </w:r>
            <w:bookmarkStart w:id="10" w:name="_Toc8203"/>
            <w:bookmarkStart w:id="11" w:name="_Toc1825"/>
            <w:bookmarkStart w:id="12" w:name="_Toc6175"/>
            <w:bookmarkStart w:id="13" w:name="_Toc27168"/>
            <w:bookmarkStart w:id="14" w:name="_Toc5727"/>
            <w:r>
              <w:rPr>
                <w:rFonts w:hint="eastAsia" w:asciiTheme="minorEastAsia" w:hAnsiTheme="minorEastAsia" w:eastAsiaTheme="minorEastAsia"/>
                <w:kern w:val="0"/>
                <w:szCs w:val="21"/>
              </w:rPr>
              <w:t>.员工入职、离职及交接制度</w:t>
            </w:r>
            <w:bookmarkEnd w:id="10"/>
            <w:bookmarkEnd w:id="11"/>
            <w:bookmarkEnd w:id="12"/>
            <w:bookmarkEnd w:id="13"/>
            <w:bookmarkEnd w:id="14"/>
            <w:r>
              <w:rPr>
                <w:rFonts w:hint="eastAsia" w:asciiTheme="minorEastAsia" w:hAnsiTheme="minorEastAsia" w:eastAsiaTheme="minorEastAsia"/>
                <w:kern w:val="0"/>
                <w:szCs w:val="21"/>
              </w:rPr>
              <w:t>；</w:t>
            </w:r>
          </w:p>
          <w:p>
            <w:pPr>
              <w:autoSpaceDE w:val="0"/>
              <w:autoSpaceDN w:val="0"/>
              <w:adjustRightInd w:val="0"/>
              <w:spacing w:line="36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3</w:t>
            </w:r>
            <w:bookmarkStart w:id="15" w:name="_Toc1956"/>
            <w:bookmarkStart w:id="16" w:name="_Toc4333"/>
            <w:bookmarkStart w:id="17" w:name="_Toc22022"/>
            <w:bookmarkStart w:id="18" w:name="_Toc21723"/>
            <w:bookmarkStart w:id="19" w:name="_Toc11264"/>
            <w:r>
              <w:rPr>
                <w:rFonts w:hint="eastAsia" w:asciiTheme="minorEastAsia" w:hAnsiTheme="minorEastAsia" w:eastAsiaTheme="minorEastAsia"/>
                <w:kern w:val="0"/>
                <w:szCs w:val="21"/>
              </w:rPr>
              <w:t>.考勤制度</w:t>
            </w:r>
            <w:bookmarkEnd w:id="15"/>
            <w:bookmarkEnd w:id="16"/>
            <w:bookmarkEnd w:id="17"/>
            <w:bookmarkEnd w:id="18"/>
            <w:bookmarkEnd w:id="19"/>
            <w:r>
              <w:rPr>
                <w:rFonts w:hint="eastAsia" w:asciiTheme="minorEastAsia" w:hAnsiTheme="minorEastAsia" w:eastAsiaTheme="minorEastAsia"/>
                <w:kern w:val="0"/>
                <w:szCs w:val="21"/>
              </w:rPr>
              <w:t>；</w:t>
            </w:r>
          </w:p>
          <w:p>
            <w:pPr>
              <w:autoSpaceDE w:val="0"/>
              <w:autoSpaceDN w:val="0"/>
              <w:adjustRightInd w:val="0"/>
              <w:spacing w:line="36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4.</w:t>
            </w:r>
            <w:r>
              <w:rPr>
                <w:rFonts w:asciiTheme="minorEastAsia" w:hAnsiTheme="minorEastAsia" w:eastAsiaTheme="minorEastAsia"/>
                <w:kern w:val="0"/>
                <w:szCs w:val="21"/>
              </w:rPr>
              <w:t>管理目标；</w:t>
            </w:r>
          </w:p>
          <w:p>
            <w:pPr>
              <w:autoSpaceDE w:val="0"/>
              <w:autoSpaceDN w:val="0"/>
              <w:adjustRightInd w:val="0"/>
              <w:spacing w:line="36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5.员工行为规范。</w:t>
            </w:r>
          </w:p>
          <w:p>
            <w:pPr>
              <w:widowControl/>
              <w:snapToGrid w:val="0"/>
              <w:spacing w:line="360" w:lineRule="exact"/>
              <w:jc w:val="left"/>
              <w:rPr>
                <w:rFonts w:ascii="宋体" w:hAnsi="宋体"/>
                <w:kern w:val="0"/>
                <w:szCs w:val="21"/>
              </w:rPr>
            </w:pPr>
          </w:p>
          <w:p>
            <w:pPr>
              <w:widowControl/>
              <w:snapToGrid w:val="0"/>
              <w:spacing w:line="360" w:lineRule="exact"/>
              <w:jc w:val="left"/>
              <w:rPr>
                <w:rFonts w:ascii="宋体" w:hAnsi="宋体"/>
                <w:kern w:val="0"/>
                <w:szCs w:val="21"/>
              </w:rPr>
            </w:pPr>
            <w:r>
              <w:rPr>
                <w:rFonts w:hint="eastAsia" w:ascii="宋体" w:hAnsi="宋体"/>
                <w:kern w:val="0"/>
                <w:szCs w:val="21"/>
              </w:rPr>
              <w:t>（二）评分标准：</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方案包含以上五项内容得5分；包含以上四项内容得4分；包含以上三项内容得3分；包含以上二项内容得2分；包含以上一项内容得1分；其他情况不得分。在此基础上，根据方案响应情况进一步评审：</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1.方案内容全面、具体，可行性高，加8分；</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2.方案内容较全面，可行性较高，加5分；</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3.方案全面性、可行性一般，加2分；</w:t>
            </w:r>
          </w:p>
          <w:p>
            <w:pPr>
              <w:autoSpaceDE w:val="0"/>
              <w:autoSpaceDN w:val="0"/>
              <w:adjustRightInd w:val="0"/>
              <w:spacing w:line="360" w:lineRule="exact"/>
              <w:rPr>
                <w:rFonts w:ascii="宋体" w:hAnsi="宋体" w:cs="宋体"/>
                <w:szCs w:val="21"/>
              </w:rPr>
            </w:pPr>
            <w:r>
              <w:rPr>
                <w:rFonts w:hint="eastAsia" w:asciiTheme="minorEastAsia" w:hAnsiTheme="minorEastAsia" w:eastAsiaTheme="minorEastAsia"/>
                <w:szCs w:val="21"/>
              </w:rPr>
              <w:t>4.方案不全，可行性低，不加分。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rPr>
              <w:t>评委</w:t>
            </w:r>
            <w:r>
              <w:rPr>
                <w:rFonts w:hint="eastAsia" w:ascii="宋体" w:hAnsi="宋体" w:cs="仿宋"/>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3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3</w:t>
            </w:r>
          </w:p>
        </w:tc>
        <w:tc>
          <w:tcPr>
            <w:tcW w:w="1143" w:type="dxa"/>
            <w:vAlign w:val="center"/>
          </w:tcPr>
          <w:p>
            <w:pPr>
              <w:widowControl/>
              <w:spacing w:line="360" w:lineRule="exact"/>
              <w:jc w:val="center"/>
              <w:rPr>
                <w:rFonts w:ascii="宋体" w:hAnsi="宋体"/>
                <w:kern w:val="0"/>
                <w:szCs w:val="21"/>
              </w:rPr>
            </w:pPr>
            <w:r>
              <w:rPr>
                <w:rFonts w:hint="eastAsia" w:ascii="宋体" w:hAnsi="宋体"/>
                <w:kern w:val="0"/>
                <w:szCs w:val="21"/>
              </w:rPr>
              <w:t>人员安全保障方案</w:t>
            </w:r>
          </w:p>
        </w:tc>
        <w:tc>
          <w:tcPr>
            <w:tcW w:w="709" w:type="dxa"/>
            <w:vAlign w:val="center"/>
          </w:tcPr>
          <w:p>
            <w:pPr>
              <w:widowControl/>
              <w:spacing w:line="360" w:lineRule="exact"/>
              <w:jc w:val="center"/>
              <w:rPr>
                <w:rFonts w:ascii="宋体" w:hAnsi="宋体"/>
                <w:kern w:val="0"/>
                <w:szCs w:val="21"/>
              </w:rPr>
            </w:pPr>
            <w:r>
              <w:rPr>
                <w:rFonts w:hint="eastAsia" w:ascii="宋体" w:hAnsi="宋体"/>
                <w:kern w:val="0"/>
                <w:szCs w:val="21"/>
              </w:rPr>
              <w:t>6</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utoSpaceDE w:val="0"/>
              <w:autoSpaceDN w:val="0"/>
              <w:adjustRightInd w:val="0"/>
              <w:spacing w:line="36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投标人结合</w:t>
            </w:r>
            <w:r>
              <w:rPr>
                <w:rFonts w:asciiTheme="minorEastAsia" w:hAnsiTheme="minorEastAsia" w:eastAsiaTheme="minorEastAsia"/>
                <w:kern w:val="0"/>
                <w:szCs w:val="21"/>
              </w:rPr>
              <w:t>本项目</w:t>
            </w:r>
            <w:r>
              <w:rPr>
                <w:rFonts w:hint="eastAsia" w:asciiTheme="minorEastAsia" w:hAnsiTheme="minorEastAsia" w:eastAsiaTheme="minorEastAsia"/>
                <w:kern w:val="0"/>
                <w:szCs w:val="21"/>
              </w:rPr>
              <w:t>实际情况，制订人员安全保障方案</w:t>
            </w:r>
            <w:r>
              <w:rPr>
                <w:rFonts w:asciiTheme="minorEastAsia" w:hAnsiTheme="minorEastAsia" w:eastAsiaTheme="minorEastAsia"/>
                <w:kern w:val="0"/>
                <w:szCs w:val="21"/>
              </w:rPr>
              <w:t>，至少包含</w:t>
            </w:r>
            <w:r>
              <w:rPr>
                <w:rFonts w:hint="eastAsia" w:asciiTheme="minorEastAsia" w:hAnsiTheme="minorEastAsia" w:eastAsiaTheme="minorEastAsia"/>
                <w:kern w:val="0"/>
                <w:szCs w:val="21"/>
              </w:rPr>
              <w:t>：</w:t>
            </w:r>
          </w:p>
          <w:p>
            <w:pPr>
              <w:autoSpaceDE w:val="0"/>
              <w:autoSpaceDN w:val="0"/>
              <w:adjustRightInd w:val="0"/>
              <w:spacing w:line="36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1.人员意外伤害处理预案；</w:t>
            </w:r>
          </w:p>
          <w:p>
            <w:pPr>
              <w:autoSpaceDE w:val="0"/>
              <w:autoSpaceDN w:val="0"/>
              <w:adjustRightInd w:val="0"/>
              <w:spacing w:line="360" w:lineRule="exact"/>
              <w:rPr>
                <w:rFonts w:asciiTheme="minorEastAsia" w:hAnsiTheme="minorEastAsia" w:eastAsiaTheme="minorEastAsia"/>
                <w:kern w:val="0"/>
                <w:szCs w:val="21"/>
              </w:rPr>
            </w:pPr>
            <w:r>
              <w:rPr>
                <w:rFonts w:asciiTheme="minorEastAsia" w:hAnsiTheme="minorEastAsia" w:eastAsiaTheme="minorEastAsia"/>
                <w:kern w:val="0"/>
                <w:szCs w:val="21"/>
              </w:rPr>
              <w:t>2</w:t>
            </w:r>
            <w:r>
              <w:rPr>
                <w:rFonts w:hint="eastAsia" w:asciiTheme="minorEastAsia" w:hAnsiTheme="minorEastAsia" w:eastAsiaTheme="minorEastAsia"/>
                <w:kern w:val="0"/>
                <w:szCs w:val="21"/>
              </w:rPr>
              <w:t>.火灾应急处置预案；</w:t>
            </w:r>
          </w:p>
          <w:p>
            <w:pPr>
              <w:autoSpaceDE w:val="0"/>
              <w:autoSpaceDN w:val="0"/>
              <w:adjustRightInd w:val="0"/>
              <w:spacing w:line="360" w:lineRule="exact"/>
              <w:rPr>
                <w:rFonts w:asciiTheme="minorEastAsia" w:hAnsiTheme="minorEastAsia" w:eastAsiaTheme="minorEastAsia"/>
                <w:kern w:val="0"/>
                <w:szCs w:val="21"/>
              </w:rPr>
            </w:pPr>
            <w:r>
              <w:rPr>
                <w:rFonts w:hint="eastAsia" w:asciiTheme="minorEastAsia" w:hAnsiTheme="minorEastAsia" w:eastAsiaTheme="minorEastAsia"/>
                <w:kern w:val="0"/>
                <w:szCs w:val="21"/>
              </w:rPr>
              <w:t>3.化学危险品泄露应急处置预案。</w:t>
            </w:r>
          </w:p>
          <w:p>
            <w:pPr>
              <w:widowControl/>
              <w:snapToGrid w:val="0"/>
              <w:spacing w:line="360" w:lineRule="exact"/>
              <w:jc w:val="left"/>
              <w:rPr>
                <w:rFonts w:ascii="宋体" w:hAnsi="宋体"/>
                <w:kern w:val="0"/>
                <w:szCs w:val="21"/>
              </w:rPr>
            </w:pPr>
          </w:p>
          <w:p>
            <w:pPr>
              <w:widowControl/>
              <w:snapToGrid w:val="0"/>
              <w:spacing w:line="360" w:lineRule="exact"/>
              <w:jc w:val="left"/>
              <w:rPr>
                <w:rFonts w:ascii="宋体" w:hAnsi="宋体"/>
                <w:kern w:val="0"/>
                <w:szCs w:val="21"/>
              </w:rPr>
            </w:pPr>
            <w:r>
              <w:rPr>
                <w:rFonts w:hint="eastAsia" w:ascii="宋体" w:hAnsi="宋体"/>
                <w:kern w:val="0"/>
                <w:szCs w:val="21"/>
              </w:rPr>
              <w:t>（二）评分标准：</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方案包含以上三项内容得3分；包含以上二项内容得2分；包含以上一项内容得1分；其他情况不得分。</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在此基础上，根据方案响应情况进一步评审：</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1.方案内容全面、具体，可行性高，加3分；</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2.方案内容较全面，可行性较高，加2分；</w:t>
            </w:r>
          </w:p>
          <w:p>
            <w:pPr>
              <w:pStyle w:val="94"/>
              <w:spacing w:line="360" w:lineRule="exact"/>
              <w:ind w:firstLine="0" w:firstLineChars="0"/>
              <w:rPr>
                <w:rFonts w:asciiTheme="minorEastAsia" w:hAnsiTheme="minorEastAsia" w:eastAsiaTheme="minorEastAsia"/>
                <w:szCs w:val="21"/>
              </w:rPr>
            </w:pPr>
            <w:r>
              <w:rPr>
                <w:rFonts w:hint="eastAsia" w:asciiTheme="minorEastAsia" w:hAnsiTheme="minorEastAsia" w:eastAsiaTheme="minorEastAsia"/>
                <w:szCs w:val="21"/>
              </w:rPr>
              <w:t>3.方案全面性、可行性一般，加1分；</w:t>
            </w:r>
          </w:p>
          <w:p>
            <w:pPr>
              <w:widowControl/>
              <w:snapToGrid w:val="0"/>
              <w:spacing w:line="360" w:lineRule="exact"/>
              <w:jc w:val="left"/>
              <w:rPr>
                <w:rFonts w:ascii="宋体" w:hAnsi="宋体"/>
                <w:kern w:val="0"/>
                <w:szCs w:val="21"/>
              </w:rPr>
            </w:pPr>
            <w:r>
              <w:rPr>
                <w:rFonts w:hint="eastAsia" w:asciiTheme="minorEastAsia" w:hAnsiTheme="minorEastAsia" w:eastAsiaTheme="minorEastAsia"/>
                <w:szCs w:val="21"/>
              </w:rPr>
              <w:t>4.方案不全，可行性低，不加分。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21" w:hRule="atLeast"/>
          <w:jc w:val="center"/>
        </w:trPr>
        <w:tc>
          <w:tcPr>
            <w:tcW w:w="754" w:type="dxa"/>
            <w:vAlign w:val="center"/>
          </w:tcPr>
          <w:p>
            <w:pPr>
              <w:widowControl/>
              <w:snapToGrid w:val="0"/>
              <w:spacing w:line="360" w:lineRule="exact"/>
              <w:jc w:val="center"/>
              <w:rPr>
                <w:rFonts w:ascii="宋体" w:hAnsi="宋体"/>
                <w:kern w:val="0"/>
                <w:szCs w:val="21"/>
              </w:rPr>
            </w:pPr>
            <w:r>
              <w:rPr>
                <w:rFonts w:hint="eastAsia" w:ascii="宋体" w:hAnsi="宋体"/>
                <w:kern w:val="0"/>
                <w:szCs w:val="21"/>
              </w:rPr>
              <w:t>4</w:t>
            </w:r>
          </w:p>
        </w:tc>
        <w:tc>
          <w:tcPr>
            <w:tcW w:w="1143" w:type="dxa"/>
            <w:vAlign w:val="center"/>
          </w:tcPr>
          <w:p>
            <w:pPr>
              <w:widowControl/>
              <w:spacing w:line="360" w:lineRule="exact"/>
              <w:jc w:val="center"/>
              <w:rPr>
                <w:rFonts w:ascii="宋体" w:hAnsi="宋体" w:cs="宋体"/>
                <w:szCs w:val="21"/>
              </w:rPr>
            </w:pPr>
            <w:r>
              <w:rPr>
                <w:rFonts w:hint="eastAsia" w:ascii="宋体" w:hAnsi="宋体" w:cs="宋体"/>
                <w:color w:val="000000"/>
                <w:kern w:val="0"/>
                <w:szCs w:val="21"/>
              </w:rPr>
              <w:t>拟安排的项目负责人(仅限1人）情况</w:t>
            </w:r>
          </w:p>
        </w:tc>
        <w:tc>
          <w:tcPr>
            <w:tcW w:w="709"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4</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pStyle w:val="94"/>
              <w:spacing w:line="360" w:lineRule="exact"/>
              <w:ind w:firstLine="0" w:firstLineChars="0"/>
              <w:rPr>
                <w:rFonts w:ascii="宋体" w:hAnsi="宋体"/>
                <w:szCs w:val="21"/>
              </w:rPr>
            </w:pPr>
            <w:r>
              <w:rPr>
                <w:rFonts w:hint="eastAsia" w:ascii="宋体" w:hAnsi="宋体"/>
                <w:szCs w:val="21"/>
              </w:rPr>
              <w:t>拟安排的项目负责人</w:t>
            </w:r>
            <w:r>
              <w:rPr>
                <w:rFonts w:hint="eastAsia" w:ascii="宋体" w:hAnsi="宋体" w:cs="宋体"/>
                <w:color w:val="000000"/>
                <w:kern w:val="0"/>
                <w:szCs w:val="21"/>
              </w:rPr>
              <w:t>(仅限1人）</w:t>
            </w:r>
            <w:r>
              <w:rPr>
                <w:rFonts w:hint="eastAsia" w:ascii="宋体" w:hAnsi="宋体"/>
                <w:szCs w:val="21"/>
              </w:rPr>
              <w:t>需为投标人</w:t>
            </w:r>
            <w:r>
              <w:rPr>
                <w:rFonts w:hint="eastAsia" w:ascii="宋体" w:hAnsi="宋体"/>
                <w:color w:val="000000" w:themeColor="text1"/>
                <w:szCs w:val="21"/>
              </w:rPr>
              <w:t>正式聘任</w:t>
            </w:r>
            <w:r>
              <w:rPr>
                <w:rFonts w:hint="eastAsia" w:ascii="宋体" w:hAnsi="宋体"/>
                <w:szCs w:val="21"/>
              </w:rPr>
              <w:t>员工，否则本项不得分。在此基础上，按以下标准评分：</w:t>
            </w:r>
          </w:p>
          <w:p>
            <w:pPr>
              <w:pStyle w:val="94"/>
              <w:spacing w:line="360" w:lineRule="exact"/>
              <w:ind w:firstLine="0" w:firstLineChars="0"/>
              <w:rPr>
                <w:rFonts w:ascii="宋体" w:hAnsi="宋体"/>
                <w:szCs w:val="21"/>
              </w:rPr>
            </w:pPr>
            <w:r>
              <w:rPr>
                <w:rFonts w:hint="eastAsia" w:ascii="宋体" w:hAnsi="宋体"/>
                <w:szCs w:val="21"/>
              </w:rPr>
              <w:t>（1）具有中专（或以上）学历的得1分；</w:t>
            </w:r>
          </w:p>
          <w:p>
            <w:pPr>
              <w:pStyle w:val="94"/>
              <w:spacing w:line="360" w:lineRule="exact"/>
              <w:ind w:firstLine="0" w:firstLineChars="0"/>
              <w:rPr>
                <w:rFonts w:ascii="宋体" w:hAnsi="宋体"/>
                <w:szCs w:val="21"/>
              </w:rPr>
            </w:pPr>
            <w:r>
              <w:rPr>
                <w:rFonts w:hint="eastAsia" w:ascii="宋体" w:hAnsi="宋体"/>
                <w:szCs w:val="21"/>
              </w:rPr>
              <w:t>（2）具有3年或以上同类项目管理经验且同时满足年龄在23周岁至40周岁的，得3分。</w:t>
            </w:r>
          </w:p>
          <w:p>
            <w:pPr>
              <w:autoSpaceDE w:val="0"/>
              <w:autoSpaceDN w:val="0"/>
              <w:adjustRightInd w:val="0"/>
              <w:spacing w:line="360" w:lineRule="exact"/>
              <w:rPr>
                <w:rFonts w:ascii="宋体" w:hAnsi="宋体"/>
                <w:kern w:val="0"/>
                <w:szCs w:val="21"/>
              </w:rPr>
            </w:pPr>
          </w:p>
          <w:p>
            <w:pPr>
              <w:autoSpaceDE w:val="0"/>
              <w:autoSpaceDN w:val="0"/>
              <w:adjustRightInd w:val="0"/>
              <w:spacing w:line="360" w:lineRule="exact"/>
              <w:rPr>
                <w:rFonts w:ascii="宋体" w:hAnsi="宋体"/>
                <w:kern w:val="0"/>
                <w:szCs w:val="21"/>
              </w:rPr>
            </w:pPr>
            <w:r>
              <w:rPr>
                <w:rFonts w:hint="eastAsia" w:ascii="宋体" w:hAnsi="宋体"/>
                <w:kern w:val="0"/>
                <w:szCs w:val="21"/>
              </w:rPr>
              <w:t>（二）评分依据：</w:t>
            </w:r>
          </w:p>
          <w:p>
            <w:pPr>
              <w:pStyle w:val="94"/>
              <w:spacing w:line="360" w:lineRule="exact"/>
              <w:ind w:firstLine="0" w:firstLineChars="0"/>
              <w:rPr>
                <w:rFonts w:ascii="宋体" w:hAnsi="宋体"/>
                <w:szCs w:val="21"/>
              </w:rPr>
            </w:pPr>
            <w:r>
              <w:rPr>
                <w:rFonts w:hint="eastAsia" w:ascii="宋体" w:hAnsi="宋体"/>
                <w:szCs w:val="21"/>
              </w:rPr>
              <w:t>1.提供项目负责人通过投标单位缴纳的载有</w:t>
            </w:r>
            <w:r>
              <w:rPr>
                <w:rFonts w:hint="eastAsia" w:cs="宋体" w:asciiTheme="minorEastAsia" w:hAnsiTheme="minorEastAsia" w:eastAsiaTheme="minorEastAsia"/>
                <w:szCs w:val="21"/>
              </w:rPr>
              <w:t>社保部门或税务部门</w:t>
            </w:r>
            <w:r>
              <w:rPr>
                <w:rFonts w:hint="eastAsia" w:ascii="宋体" w:hAnsi="宋体"/>
                <w:szCs w:val="21"/>
              </w:rPr>
              <w:t>公章的近三个月内任意一个月的个人社保证明，如供应商为新成立单位且成立时间不足一个月的，</w:t>
            </w:r>
            <w:r>
              <w:rPr>
                <w:rFonts w:hint="eastAsia" w:ascii="宋体" w:hAnsi="宋体" w:cs="宋体"/>
                <w:szCs w:val="21"/>
              </w:rPr>
              <w:t>可提供加盖公章的情况说明或者证明材料亦视为符合</w:t>
            </w:r>
            <w:r>
              <w:rPr>
                <w:rFonts w:hint="eastAsia" w:ascii="宋体" w:hAnsi="宋体"/>
                <w:szCs w:val="21"/>
              </w:rPr>
              <w:t>。如为退休返聘人员则提供劳动合同或返聘协议；</w:t>
            </w:r>
          </w:p>
          <w:p>
            <w:pPr>
              <w:pStyle w:val="94"/>
              <w:spacing w:line="360" w:lineRule="exact"/>
              <w:ind w:firstLine="0" w:firstLineChars="0"/>
              <w:rPr>
                <w:rFonts w:ascii="宋体" w:hAnsi="宋体"/>
                <w:szCs w:val="21"/>
              </w:rPr>
            </w:pPr>
            <w:r>
              <w:rPr>
                <w:rFonts w:hint="eastAsia" w:ascii="宋体" w:hAnsi="宋体"/>
                <w:szCs w:val="21"/>
              </w:rPr>
              <w:t>2.提供项目负责人毕业证书作为评分依据；</w:t>
            </w:r>
          </w:p>
          <w:p>
            <w:pPr>
              <w:pStyle w:val="94"/>
              <w:spacing w:line="360" w:lineRule="exact"/>
              <w:ind w:firstLine="0" w:firstLineChars="0"/>
              <w:rPr>
                <w:rFonts w:ascii="宋体" w:hAnsi="宋体"/>
                <w:szCs w:val="21"/>
              </w:rPr>
            </w:pPr>
            <w:r>
              <w:rPr>
                <w:rFonts w:hint="eastAsia" w:ascii="宋体" w:hAnsi="宋体"/>
                <w:szCs w:val="21"/>
              </w:rPr>
              <w:t>3.</w:t>
            </w:r>
            <w:r>
              <w:rPr>
                <w:rFonts w:hint="eastAsia"/>
              </w:rPr>
              <w:t>涉及考察人员工作经验的，要求提供项目合同关键信息作为评分依据，通过合同关键信息无法判断是否得分的，还需同时提供合同甲方出具的证明文件</w:t>
            </w:r>
            <w:r>
              <w:rPr>
                <w:rFonts w:hint="eastAsia" w:ascii="宋体" w:hAnsi="宋体"/>
                <w:szCs w:val="21"/>
              </w:rPr>
              <w:t>；</w:t>
            </w:r>
          </w:p>
          <w:p>
            <w:pPr>
              <w:pStyle w:val="94"/>
              <w:spacing w:line="360" w:lineRule="exact"/>
              <w:ind w:firstLine="0" w:firstLineChars="0"/>
              <w:rPr>
                <w:rFonts w:ascii="宋体" w:hAnsi="宋体"/>
                <w:szCs w:val="21"/>
              </w:rPr>
            </w:pPr>
            <w:r>
              <w:rPr>
                <w:rFonts w:hint="eastAsia" w:ascii="宋体" w:hAnsi="宋体"/>
                <w:szCs w:val="21"/>
              </w:rPr>
              <w:t>4.提供以上证明文件复印件或扫描件，如涉及网站截图或照片等证明材料，需提供清晰图片，均要求加盖投标人公章，原件备查。未按要求提供有效证明材料或提供不清晰导致评委无法识别的不计得分。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rPr>
              <w:t>评委</w:t>
            </w:r>
            <w:r>
              <w:rPr>
                <w:rFonts w:hint="eastAsia" w:ascii="宋体" w:hAnsi="宋体" w:cs="仿宋"/>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50" w:hRule="atLeast"/>
          <w:jc w:val="center"/>
        </w:trPr>
        <w:tc>
          <w:tcPr>
            <w:tcW w:w="754" w:type="dxa"/>
            <w:vAlign w:val="center"/>
          </w:tcPr>
          <w:p>
            <w:pPr>
              <w:widowControl/>
              <w:snapToGrid w:val="0"/>
              <w:spacing w:line="360" w:lineRule="exact"/>
              <w:jc w:val="center"/>
              <w:rPr>
                <w:rFonts w:ascii="宋体" w:hAnsi="宋体"/>
                <w:kern w:val="0"/>
                <w:szCs w:val="21"/>
              </w:rPr>
            </w:pPr>
            <w:r>
              <w:rPr>
                <w:rFonts w:hint="eastAsia" w:ascii="宋体" w:hAnsi="宋体"/>
                <w:kern w:val="0"/>
                <w:szCs w:val="21"/>
              </w:rPr>
              <w:t>5</w:t>
            </w:r>
          </w:p>
        </w:tc>
        <w:tc>
          <w:tcPr>
            <w:tcW w:w="1143" w:type="dxa"/>
            <w:vAlign w:val="center"/>
          </w:tcPr>
          <w:p>
            <w:pPr>
              <w:widowControl/>
              <w:spacing w:line="360" w:lineRule="exact"/>
              <w:jc w:val="center"/>
              <w:rPr>
                <w:rFonts w:ascii="宋体" w:hAnsi="宋体" w:cs="宋体"/>
                <w:szCs w:val="21"/>
              </w:rPr>
            </w:pPr>
            <w:r>
              <w:rPr>
                <w:rFonts w:hint="eastAsia" w:ascii="宋体" w:hAnsi="宋体" w:cs="宋体"/>
                <w:szCs w:val="21"/>
              </w:rPr>
              <w:t>拟安排的项目团队成员（项目负责人除外）情况</w:t>
            </w:r>
          </w:p>
        </w:tc>
        <w:tc>
          <w:tcPr>
            <w:tcW w:w="709"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4</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pStyle w:val="94"/>
              <w:spacing w:line="360" w:lineRule="exact"/>
              <w:ind w:firstLine="0" w:firstLineChars="0"/>
              <w:rPr>
                <w:rFonts w:ascii="宋体" w:hAnsi="宋体"/>
                <w:szCs w:val="21"/>
              </w:rPr>
            </w:pPr>
            <w:r>
              <w:rPr>
                <w:rFonts w:hint="eastAsia" w:ascii="宋体" w:hAnsi="宋体" w:cs="宋体"/>
                <w:szCs w:val="21"/>
              </w:rPr>
              <w:t>拟安排的项目团队成员（项目负责人除外）</w:t>
            </w:r>
            <w:r>
              <w:rPr>
                <w:rFonts w:hint="eastAsia" w:ascii="宋体" w:hAnsi="宋体"/>
                <w:szCs w:val="21"/>
              </w:rPr>
              <w:t>需为投标人</w:t>
            </w:r>
            <w:r>
              <w:rPr>
                <w:rFonts w:hint="eastAsia" w:ascii="宋体" w:hAnsi="宋体"/>
                <w:color w:val="000000" w:themeColor="text1"/>
                <w:szCs w:val="21"/>
              </w:rPr>
              <w:t>正式聘任</w:t>
            </w:r>
            <w:r>
              <w:rPr>
                <w:rFonts w:hint="eastAsia" w:ascii="宋体" w:hAnsi="宋体"/>
                <w:szCs w:val="21"/>
              </w:rPr>
              <w:t>员工，否则本项不得分。在此基础上，按以下标准评分：</w:t>
            </w:r>
          </w:p>
          <w:p>
            <w:pPr>
              <w:pStyle w:val="94"/>
              <w:spacing w:line="360" w:lineRule="exact"/>
              <w:ind w:firstLine="0" w:firstLineChars="0"/>
              <w:rPr>
                <w:rFonts w:ascii="宋体" w:hAnsi="宋体"/>
                <w:szCs w:val="21"/>
              </w:rPr>
            </w:pPr>
            <w:r>
              <w:rPr>
                <w:rFonts w:hint="eastAsia" w:ascii="宋体" w:hAnsi="宋体"/>
                <w:szCs w:val="21"/>
              </w:rPr>
              <w:t>（1）项目团队成员均具有中专（或以上）学历得2分；</w:t>
            </w:r>
          </w:p>
          <w:p>
            <w:pPr>
              <w:pStyle w:val="94"/>
              <w:spacing w:line="360" w:lineRule="exact"/>
              <w:ind w:firstLine="0" w:firstLineChars="0"/>
              <w:rPr>
                <w:rFonts w:ascii="宋体" w:hAnsi="宋体"/>
                <w:szCs w:val="21"/>
              </w:rPr>
            </w:pPr>
            <w:r>
              <w:rPr>
                <w:rFonts w:hint="eastAsia" w:ascii="宋体" w:hAnsi="宋体"/>
                <w:szCs w:val="21"/>
              </w:rPr>
              <w:t>（2）项目团队成员每</w:t>
            </w:r>
            <w:r>
              <w:rPr>
                <w:rFonts w:hint="eastAsia" w:ascii="宋体" w:hAnsi="宋体"/>
                <w:szCs w:val="21"/>
                <w:lang w:val="en-US" w:eastAsia="zh-CN"/>
              </w:rPr>
              <w:t>提供</w:t>
            </w:r>
            <w:r>
              <w:rPr>
                <w:rFonts w:hint="eastAsia" w:ascii="宋体" w:hAnsi="宋体"/>
                <w:szCs w:val="21"/>
              </w:rPr>
              <w:t>1人具有食品科学与工程类相关专业的学历和学位证书的得1分，最高得2分。</w:t>
            </w:r>
          </w:p>
          <w:p>
            <w:pPr>
              <w:autoSpaceDE w:val="0"/>
              <w:autoSpaceDN w:val="0"/>
              <w:adjustRightInd w:val="0"/>
              <w:spacing w:line="360" w:lineRule="exact"/>
              <w:jc w:val="left"/>
              <w:rPr>
                <w:rFonts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pStyle w:val="94"/>
              <w:spacing w:line="360" w:lineRule="exact"/>
              <w:ind w:firstLine="0" w:firstLineChars="0"/>
              <w:rPr>
                <w:rFonts w:ascii="宋体" w:hAnsi="宋体"/>
                <w:szCs w:val="21"/>
              </w:rPr>
            </w:pPr>
            <w:r>
              <w:rPr>
                <w:rFonts w:hint="eastAsia" w:ascii="宋体" w:hAnsi="宋体"/>
                <w:szCs w:val="21"/>
              </w:rPr>
              <w:t>1.提供项目团队成员通过投标单位缴纳的载有</w:t>
            </w:r>
            <w:r>
              <w:rPr>
                <w:rFonts w:hint="eastAsia" w:cs="宋体" w:asciiTheme="minorEastAsia" w:hAnsiTheme="minorEastAsia" w:eastAsiaTheme="minorEastAsia"/>
                <w:szCs w:val="21"/>
              </w:rPr>
              <w:t>社保部门或税务部门</w:t>
            </w:r>
            <w:r>
              <w:rPr>
                <w:rFonts w:hint="eastAsia" w:ascii="宋体" w:hAnsi="宋体"/>
                <w:szCs w:val="21"/>
              </w:rPr>
              <w:t>公章的近三个月内任意一个月的个人社保证明，如供应商为新成立单位且成立时间不足一个月的，</w:t>
            </w:r>
            <w:r>
              <w:rPr>
                <w:rFonts w:hint="eastAsia" w:ascii="宋体" w:hAnsi="宋体" w:cs="宋体"/>
                <w:szCs w:val="21"/>
              </w:rPr>
              <w:t>可提供加盖公章的情况说明或者证明材料亦视为符合</w:t>
            </w:r>
            <w:r>
              <w:rPr>
                <w:rFonts w:hint="eastAsia" w:ascii="宋体" w:hAnsi="宋体"/>
                <w:szCs w:val="21"/>
              </w:rPr>
              <w:t>。如为退休返聘人员则提供劳动合同或返聘协议；</w:t>
            </w:r>
          </w:p>
          <w:p>
            <w:pPr>
              <w:pStyle w:val="94"/>
              <w:spacing w:line="360" w:lineRule="exact"/>
              <w:ind w:firstLine="0" w:firstLineChars="0"/>
              <w:rPr>
                <w:rFonts w:ascii="宋体" w:hAnsi="宋体"/>
                <w:szCs w:val="21"/>
              </w:rPr>
            </w:pPr>
            <w:r>
              <w:rPr>
                <w:rFonts w:hint="eastAsia" w:ascii="宋体" w:hAnsi="宋体"/>
                <w:szCs w:val="21"/>
              </w:rPr>
              <w:t>2.提供</w:t>
            </w:r>
            <w:r>
              <w:rPr>
                <w:rFonts w:hint="eastAsia" w:ascii="宋体" w:hAnsi="宋体" w:cs="宋体"/>
                <w:szCs w:val="21"/>
              </w:rPr>
              <w:t>项目团队成员</w:t>
            </w:r>
            <w:r>
              <w:rPr>
                <w:rFonts w:hint="eastAsia" w:ascii="宋体" w:hAnsi="宋体"/>
                <w:szCs w:val="21"/>
              </w:rPr>
              <w:t>毕业证书</w:t>
            </w:r>
            <w:r>
              <w:rPr>
                <w:rFonts w:hint="eastAsia" w:ascii="宋体" w:hAnsi="宋体"/>
                <w:szCs w:val="21"/>
                <w:lang w:val="en-US" w:eastAsia="zh-CN"/>
              </w:rPr>
              <w:t>和学位证书</w:t>
            </w:r>
            <w:r>
              <w:rPr>
                <w:rFonts w:hint="eastAsia" w:ascii="宋体" w:hAnsi="宋体"/>
                <w:szCs w:val="21"/>
              </w:rPr>
              <w:t>作为评分依据；</w:t>
            </w:r>
          </w:p>
          <w:p>
            <w:pPr>
              <w:pStyle w:val="94"/>
              <w:spacing w:line="360" w:lineRule="exact"/>
              <w:ind w:firstLine="0" w:firstLineChars="0"/>
              <w:rPr>
                <w:rFonts w:ascii="宋体" w:hAnsi="宋体"/>
                <w:szCs w:val="21"/>
              </w:rPr>
            </w:pPr>
            <w:r>
              <w:rPr>
                <w:rFonts w:hint="eastAsia" w:ascii="宋体" w:hAnsi="宋体"/>
                <w:szCs w:val="21"/>
              </w:rPr>
              <w:t>3.提供以上证明文件复印件或扫描件，如涉及网站截图或照片等证明材料，需提供清晰图片，均要求加盖投标人公章，原件备查。未按要求提供有效证明材料或提供不清晰导致评委无法识别的不计得分。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rPr>
              <w:t>评委</w:t>
            </w:r>
            <w:r>
              <w:rPr>
                <w:rFonts w:hint="eastAsia" w:ascii="宋体" w:hAnsi="宋体" w:cs="仿宋"/>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37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1</w:t>
            </w:r>
          </w:p>
        </w:tc>
        <w:tc>
          <w:tcPr>
            <w:tcW w:w="1143" w:type="dxa"/>
            <w:vAlign w:val="center"/>
          </w:tcPr>
          <w:p>
            <w:pPr>
              <w:spacing w:line="360" w:lineRule="exact"/>
              <w:jc w:val="center"/>
              <w:rPr>
                <w:rFonts w:ascii="宋体" w:hAnsi="宋体"/>
                <w:kern w:val="0"/>
                <w:szCs w:val="21"/>
              </w:rPr>
            </w:pPr>
            <w:r>
              <w:rPr>
                <w:rFonts w:hint="eastAsia" w:ascii="宋体" w:hAnsi="宋体" w:cs="宋体"/>
                <w:color w:val="000000"/>
                <w:kern w:val="0"/>
                <w:szCs w:val="21"/>
              </w:rPr>
              <w:t>投标人体系认证情况</w:t>
            </w:r>
          </w:p>
        </w:tc>
        <w:tc>
          <w:tcPr>
            <w:tcW w:w="709" w:type="dxa"/>
            <w:vAlign w:val="center"/>
          </w:tcPr>
          <w:p>
            <w:pPr>
              <w:spacing w:line="360" w:lineRule="exact"/>
              <w:jc w:val="center"/>
              <w:rPr>
                <w:rFonts w:ascii="宋体" w:hAnsi="宋体"/>
                <w:kern w:val="0"/>
                <w:szCs w:val="21"/>
              </w:rPr>
            </w:pPr>
            <w:r>
              <w:rPr>
                <w:rFonts w:hint="eastAsia" w:ascii="宋体" w:hAnsi="宋体" w:cs="宋体"/>
                <w:szCs w:val="21"/>
              </w:rPr>
              <w:t>18</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投标人具有：</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1.质量管理体系认证证书的，得4分；</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2.环境管理体系认证证书的，得4分；</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3.职业健康安全管理体系认证证书的，得4分；</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4.诚信管理体系认证体系认证证书的，得6分。</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注：以上累计最高得18分。</w:t>
            </w:r>
          </w:p>
          <w:p>
            <w:pPr>
              <w:autoSpaceDE w:val="0"/>
              <w:autoSpaceDN w:val="0"/>
              <w:adjustRightInd w:val="0"/>
              <w:spacing w:line="360" w:lineRule="exact"/>
              <w:jc w:val="left"/>
              <w:rPr>
                <w:rFonts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1.提供上述有效认证证书（如认证证书注明年审要求的，必须按规定年审且证书在有效期内的方为有效；如未注明年审要求的，证书必须在有效期内的方为有效）；</w:t>
            </w:r>
          </w:p>
          <w:p>
            <w:pPr>
              <w:autoSpaceDE w:val="0"/>
              <w:autoSpaceDN w:val="0"/>
              <w:adjustRightInd w:val="0"/>
              <w:spacing w:line="360" w:lineRule="exact"/>
              <w:jc w:val="left"/>
              <w:rPr>
                <w:rFonts w:ascii="宋体" w:hAnsi="宋体" w:cs="仿宋"/>
                <w:szCs w:val="21"/>
                <w:lang w:val="zh-CN"/>
              </w:rPr>
            </w:pPr>
            <w:r>
              <w:rPr>
                <w:rFonts w:hint="eastAsia" w:ascii="宋体" w:hAnsi="宋体"/>
                <w:kern w:val="0"/>
                <w:szCs w:val="21"/>
              </w:rPr>
              <w:t>2.提供证书官网或权威机构【如：全国认证认可信息公共服务平台（cx.cnca.cn）】认证信息查询截图（截图需显示证书状态为有效）。</w:t>
            </w:r>
            <w:r>
              <w:rPr>
                <w:rFonts w:hint="eastAsia" w:ascii="宋体" w:hAnsi="宋体" w:cs="仿宋"/>
                <w:szCs w:val="21"/>
                <w:lang w:val="zh-CN"/>
              </w:rPr>
              <w:t>相关证书在公开渠道无法查询的，投标人需提供颁发部门或者监管机构的证明材料，证明证书真实有效且为合法机构颁发；</w:t>
            </w:r>
          </w:p>
          <w:p>
            <w:pPr>
              <w:autoSpaceDE w:val="0"/>
              <w:autoSpaceDN w:val="0"/>
              <w:adjustRightInd w:val="0"/>
              <w:spacing w:line="360" w:lineRule="exact"/>
              <w:jc w:val="left"/>
              <w:rPr>
                <w:rFonts w:ascii="宋体" w:hAnsi="宋体"/>
                <w:kern w:val="0"/>
                <w:szCs w:val="21"/>
              </w:rPr>
            </w:pPr>
            <w:r>
              <w:rPr>
                <w:rFonts w:hint="eastAsia" w:asciiTheme="minorEastAsia" w:hAnsiTheme="minorEastAsia" w:eastAsiaTheme="minorEastAsia"/>
              </w:rPr>
              <w:t>3.</w:t>
            </w:r>
            <w:r>
              <w:rPr>
                <w:rFonts w:hint="eastAsia"/>
              </w:rPr>
              <w:t>证书由行业协会颁发的，需提供该行业协会在“中国社会组织政务服务平台”（网址：</w:t>
            </w:r>
            <w:r>
              <w:t>https://chinanpo.mca.gov.cn/</w:t>
            </w:r>
            <w:r>
              <w:rPr>
                <w:rFonts w:hint="eastAsia"/>
              </w:rPr>
              <w:t>）查询的已合法登记且状态正常截图，否则不予认可，视为无效证书；</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4.</w:t>
            </w:r>
            <w:r>
              <w:rPr>
                <w:rFonts w:hint="eastAsia" w:ascii="宋体" w:hAnsi="宋体"/>
                <w:szCs w:val="21"/>
              </w:rPr>
              <w:t>提供以上证明文件复印件或扫描件，如涉及网站截图或照片等证明材料,需提供清晰图片,均要求加盖投标人公章,原件备查。未按要求提供有效证明材料或提供不清晰导致评委无法识别的不计得分</w:t>
            </w:r>
            <w:r>
              <w:rPr>
                <w:rFonts w:hint="eastAsia" w:ascii="宋体" w:hAnsi="宋体" w:cs="仿宋"/>
                <w:szCs w:val="21"/>
                <w:lang w:val="zh-CN"/>
              </w:rPr>
              <w:t>。</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评委</w:t>
            </w:r>
            <w:r>
              <w:rPr>
                <w:rFonts w:hint="eastAsia" w:ascii="宋体" w:hAnsi="宋体" w:cs="仿宋"/>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adjustRightInd w:val="0"/>
              <w:snapToGrid w:val="0"/>
              <w:spacing w:line="360" w:lineRule="exact"/>
              <w:jc w:val="center"/>
              <w:rPr>
                <w:rFonts w:ascii="宋体" w:hAnsi="宋体"/>
                <w:snapToGrid w:val="0"/>
                <w:kern w:val="0"/>
                <w:szCs w:val="21"/>
              </w:rPr>
            </w:pPr>
            <w:r>
              <w:rPr>
                <w:rFonts w:hint="eastAsia" w:ascii="宋体" w:hAnsi="宋体" w:cs="宋体"/>
                <w:color w:val="000000"/>
                <w:kern w:val="0"/>
                <w:szCs w:val="21"/>
              </w:rPr>
              <w:t>同类项目业绩情况</w:t>
            </w:r>
          </w:p>
        </w:tc>
        <w:tc>
          <w:tcPr>
            <w:tcW w:w="709" w:type="dxa"/>
            <w:vAlign w:val="center"/>
          </w:tcPr>
          <w:p>
            <w:pPr>
              <w:adjustRightInd w:val="0"/>
              <w:snapToGrid w:val="0"/>
              <w:spacing w:line="360" w:lineRule="exact"/>
              <w:jc w:val="center"/>
              <w:rPr>
                <w:rFonts w:ascii="宋体" w:hAnsi="宋体"/>
                <w:snapToGrid w:val="0"/>
                <w:kern w:val="0"/>
                <w:szCs w:val="21"/>
              </w:rPr>
            </w:pPr>
            <w:r>
              <w:rPr>
                <w:rFonts w:hint="eastAsia" w:ascii="宋体" w:hAnsi="宋体"/>
                <w:snapToGrid w:val="0"/>
                <w:kern w:val="0"/>
                <w:szCs w:val="21"/>
              </w:rPr>
              <w:t>8</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djustRightInd w:val="0"/>
              <w:snapToGrid w:val="0"/>
              <w:spacing w:line="360" w:lineRule="exact"/>
              <w:rPr>
                <w:rFonts w:ascii="宋体" w:hAnsi="宋体" w:cs="宋体"/>
                <w:szCs w:val="21"/>
              </w:rPr>
            </w:pPr>
            <w:r>
              <w:rPr>
                <w:rFonts w:hint="eastAsia" w:ascii="宋体" w:hAnsi="宋体" w:cs="宋体"/>
                <w:szCs w:val="21"/>
              </w:rPr>
              <w:t>2023年1月1日至本项目投标截止日（以合同签订日期为准），投标人具有</w:t>
            </w:r>
            <w:r>
              <w:rPr>
                <w:rFonts w:hint="eastAsia" w:ascii="宋体" w:hAnsi="宋体" w:cs="宋体"/>
                <w:bCs/>
                <w:szCs w:val="21"/>
              </w:rPr>
              <w:t>同类项目业绩</w:t>
            </w:r>
            <w:r>
              <w:rPr>
                <w:rFonts w:hint="eastAsia" w:ascii="宋体" w:hAnsi="宋体" w:cs="宋体"/>
                <w:szCs w:val="21"/>
              </w:rPr>
              <w:t>且获得履约评价结果为“优”或“满意”</w:t>
            </w:r>
            <w:r>
              <w:rPr>
                <w:rFonts w:hint="eastAsia" w:ascii="宋体" w:hAnsi="宋体" w:cs="宋体"/>
                <w:bCs/>
                <w:szCs w:val="21"/>
              </w:rPr>
              <w:t>或评价中最高等级（以评分作为评价结果的不予计算）</w:t>
            </w:r>
            <w:r>
              <w:rPr>
                <w:rFonts w:hint="eastAsia" w:ascii="宋体" w:hAnsi="宋体" w:cs="宋体"/>
                <w:szCs w:val="21"/>
              </w:rPr>
              <w:t>，每提供1个项目得8分,最高得8分。</w:t>
            </w:r>
          </w:p>
          <w:p>
            <w:pPr>
              <w:autoSpaceDE w:val="0"/>
              <w:autoSpaceDN w:val="0"/>
              <w:adjustRightInd w:val="0"/>
              <w:spacing w:line="360" w:lineRule="exact"/>
              <w:jc w:val="left"/>
              <w:rPr>
                <w:rFonts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djustRightInd w:val="0"/>
              <w:snapToGrid w:val="0"/>
              <w:spacing w:line="360" w:lineRule="exact"/>
              <w:rPr>
                <w:rFonts w:ascii="宋体" w:hAnsi="宋体"/>
                <w:szCs w:val="21"/>
              </w:rPr>
            </w:pPr>
            <w:r>
              <w:rPr>
                <w:rFonts w:hint="eastAsia" w:ascii="宋体" w:hAnsi="宋体" w:cs="仿宋"/>
                <w:szCs w:val="21"/>
              </w:rPr>
              <w:t>1.提供合同关键页</w:t>
            </w:r>
            <w:r>
              <w:rPr>
                <w:rFonts w:cs="宋体" w:asciiTheme="minorEastAsia" w:hAnsiTheme="minorEastAsia" w:eastAsiaTheme="minorEastAsia"/>
                <w:szCs w:val="21"/>
              </w:rPr>
              <w:t>（关键信息包括但不仅限于合同的项目名称、服务内容、合同服务期限、甲乙双方签字盖章页）</w:t>
            </w:r>
            <w:r>
              <w:rPr>
                <w:rFonts w:hint="eastAsia" w:asciiTheme="minorEastAsia" w:hAnsiTheme="minorEastAsia" w:eastAsiaTheme="minorEastAsia"/>
                <w:bCs/>
                <w:szCs w:val="21"/>
              </w:rPr>
              <w:t>且提供的材料各项信息不得有任何遮挡</w:t>
            </w:r>
            <w:r>
              <w:rPr>
                <w:rFonts w:hint="eastAsia" w:ascii="宋体" w:hAnsi="宋体"/>
                <w:szCs w:val="21"/>
              </w:rPr>
              <w:t>；</w:t>
            </w:r>
          </w:p>
          <w:p>
            <w:pPr>
              <w:adjustRightInd w:val="0"/>
              <w:snapToGrid w:val="0"/>
              <w:spacing w:line="360" w:lineRule="exact"/>
              <w:rPr>
                <w:rFonts w:ascii="宋体" w:hAnsi="宋体"/>
                <w:szCs w:val="21"/>
              </w:rPr>
            </w:pPr>
            <w:r>
              <w:rPr>
                <w:rFonts w:hint="eastAsia" w:ascii="宋体" w:hAnsi="宋体"/>
                <w:szCs w:val="21"/>
              </w:rPr>
              <w:t>2.通过合同关键信息无法判断是否得分的，还需提供能证明得分的其它证明资料，如项目报告或合同甲方出具的证明文件；</w:t>
            </w:r>
          </w:p>
          <w:p>
            <w:pPr>
              <w:adjustRightInd w:val="0"/>
              <w:snapToGrid w:val="0"/>
              <w:spacing w:line="360" w:lineRule="exact"/>
              <w:rPr>
                <w:rFonts w:ascii="宋体" w:hAnsi="宋体"/>
                <w:szCs w:val="21"/>
              </w:rPr>
            </w:pPr>
            <w:r>
              <w:rPr>
                <w:rFonts w:hint="eastAsia" w:ascii="宋体" w:hAnsi="宋体"/>
                <w:szCs w:val="21"/>
              </w:rPr>
              <w:t>3.</w:t>
            </w:r>
            <w:r>
              <w:rPr>
                <w:rFonts w:hint="eastAsia" w:ascii="宋体" w:hAnsi="宋体" w:cs="仿宋"/>
                <w:szCs w:val="21"/>
              </w:rPr>
              <w:t>提供加盖合同甲方公章或甲方业务章的</w:t>
            </w:r>
            <w:r>
              <w:rPr>
                <w:rFonts w:hint="eastAsia" w:ascii="宋体" w:hAnsi="宋体" w:cs="宋体"/>
                <w:szCs w:val="21"/>
              </w:rPr>
              <w:t>履约评价证明材料；</w:t>
            </w:r>
          </w:p>
          <w:p>
            <w:pPr>
              <w:adjustRightInd w:val="0"/>
              <w:snapToGrid w:val="0"/>
              <w:spacing w:line="360" w:lineRule="exact"/>
              <w:rPr>
                <w:rFonts w:ascii="宋体" w:hAnsi="宋体"/>
                <w:szCs w:val="21"/>
              </w:rPr>
            </w:pPr>
            <w:r>
              <w:rPr>
                <w:rFonts w:hint="eastAsia" w:ascii="宋体" w:hAnsi="宋体"/>
                <w:szCs w:val="21"/>
              </w:rPr>
              <w:t>4.提供以上证明文件复印件或扫描件，如涉及网站截图或照片等证明材料,需提供清晰图片,均要求加盖投标人公章,原件备查。未按要求提供有效证明材料或提供不清晰导致评委无法识别的不计得分。</w:t>
            </w:r>
          </w:p>
          <w:p>
            <w:pPr>
              <w:adjustRightInd w:val="0"/>
              <w:snapToGrid w:val="0"/>
              <w:spacing w:line="360" w:lineRule="exact"/>
              <w:rPr>
                <w:rFonts w:ascii="宋体" w:hAnsi="宋体"/>
                <w:b/>
                <w:bCs/>
                <w:kern w:val="0"/>
                <w:szCs w:val="21"/>
              </w:rPr>
            </w:pPr>
            <w:r>
              <w:rPr>
                <w:rFonts w:hint="eastAsia" w:ascii="宋体" w:hAnsi="宋体" w:cs="宋体"/>
                <w:szCs w:val="21"/>
              </w:rPr>
              <w:t>注：为便于评委评审，履约评价证明文件应附在 “同类项目业绩”证明文件后，每个项目对应一份履约评价证明。</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rPr>
              <w:t>评委</w:t>
            </w:r>
            <w:r>
              <w:rPr>
                <w:rFonts w:hint="eastAsia" w:ascii="宋体" w:hAnsi="宋体" w:cs="仿宋"/>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128" w:hRule="atLeast"/>
          <w:jc w:val="center"/>
        </w:trPr>
        <w:tc>
          <w:tcPr>
            <w:tcW w:w="754" w:type="dxa"/>
            <w:vAlign w:val="center"/>
          </w:tcPr>
          <w:p>
            <w:pPr>
              <w:widowControl/>
              <w:snapToGrid w:val="0"/>
              <w:spacing w:line="360" w:lineRule="exact"/>
              <w:jc w:val="center"/>
              <w:rPr>
                <w:rFonts w:ascii="宋体" w:hAnsi="宋体" w:cs="宋体"/>
                <w:kern w:val="0"/>
                <w:szCs w:val="21"/>
              </w:rPr>
            </w:pPr>
            <w:r>
              <w:rPr>
                <w:rFonts w:hint="eastAsia" w:ascii="宋体" w:hAnsi="宋体"/>
                <w:kern w:val="0"/>
                <w:szCs w:val="21"/>
              </w:rPr>
              <w:t>3</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供应商自主知识产权产品（创新、设计）情况</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6</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utoSpaceDE w:val="0"/>
              <w:autoSpaceDN w:val="0"/>
              <w:adjustRightInd w:val="0"/>
              <w:spacing w:line="360" w:lineRule="exact"/>
              <w:jc w:val="left"/>
              <w:rPr>
                <w:rFonts w:ascii="宋体" w:hAnsi="宋体" w:cs="宋体"/>
                <w:bCs/>
                <w:kern w:val="0"/>
                <w:szCs w:val="21"/>
              </w:rPr>
            </w:pPr>
            <w:r>
              <w:rPr>
                <w:rFonts w:hint="eastAsia" w:ascii="宋体" w:hAnsi="宋体" w:cs="宋体"/>
                <w:bCs/>
                <w:kern w:val="0"/>
                <w:szCs w:val="21"/>
              </w:rPr>
              <w:t>投标人或投标自有人员工具有发明与本项目服务内容相关专利的，得</w:t>
            </w:r>
            <w:r>
              <w:rPr>
                <w:rFonts w:ascii="宋体" w:hAnsi="宋体" w:cs="宋体"/>
                <w:bCs/>
                <w:kern w:val="0"/>
                <w:szCs w:val="21"/>
              </w:rPr>
              <w:t>6分。</w:t>
            </w:r>
          </w:p>
          <w:p>
            <w:pPr>
              <w:autoSpaceDE w:val="0"/>
              <w:autoSpaceDN w:val="0"/>
              <w:adjustRightInd w:val="0"/>
              <w:spacing w:line="360" w:lineRule="exact"/>
              <w:jc w:val="left"/>
              <w:rPr>
                <w:rFonts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tabs>
                <w:tab w:val="left" w:pos="175"/>
              </w:tabs>
              <w:spacing w:line="360" w:lineRule="exact"/>
              <w:ind w:left="33"/>
              <w:jc w:val="left"/>
              <w:rPr>
                <w:rFonts w:asciiTheme="minorEastAsia" w:hAnsiTheme="minorEastAsia" w:eastAsiaTheme="minorEastAsia"/>
                <w:szCs w:val="21"/>
              </w:rPr>
            </w:pPr>
            <w:r>
              <w:rPr>
                <w:rFonts w:asciiTheme="minorEastAsia" w:hAnsiTheme="minorEastAsia" w:eastAsiaTheme="minorEastAsia"/>
                <w:szCs w:val="21"/>
              </w:rPr>
              <w:t>1.提供</w:t>
            </w:r>
            <w:r>
              <w:rPr>
                <w:rFonts w:hint="eastAsia" w:asciiTheme="minorEastAsia" w:hAnsiTheme="minorEastAsia" w:eastAsiaTheme="minorEastAsia"/>
                <w:szCs w:val="21"/>
              </w:rPr>
              <w:t>专利证书及发明专利在官方网站（国家知识产权局）查询截图作为评分依据，如专利由投标人自有员工发明，还需同时提供该人员通过投标单位缴纳的载有社保部门或税务部门公章的近三个月内任意一个月的个人社保证明，如供应商为新成立单位且成立时间不足一个月的，可提供加盖公章的情况说明或者证明材料亦视为符合。如为退休返聘人员则提供劳动合同或返聘协议；</w:t>
            </w:r>
          </w:p>
          <w:p>
            <w:pPr>
              <w:tabs>
                <w:tab w:val="left" w:pos="175"/>
              </w:tabs>
              <w:spacing w:line="360" w:lineRule="exact"/>
              <w:ind w:left="33"/>
              <w:jc w:val="left"/>
              <w:rPr>
                <w:rFonts w:ascii="宋体" w:hAnsi="宋体"/>
                <w:szCs w:val="21"/>
              </w:rPr>
            </w:pPr>
            <w:r>
              <w:rPr>
                <w:rFonts w:hint="eastAsia" w:asciiTheme="minorEastAsia" w:hAnsiTheme="minorEastAsia" w:eastAsiaTheme="minorEastAsia"/>
                <w:szCs w:val="21"/>
              </w:rPr>
              <w:t>2.</w:t>
            </w:r>
            <w:r>
              <w:rPr>
                <w:rFonts w:hint="eastAsia" w:ascii="宋体" w:hAnsi="宋体"/>
                <w:szCs w:val="21"/>
              </w:rPr>
              <w:t>提供以上证明文件复印件或扫描件，如涉及网站截图或照片等证明材料,需提供清晰图片,均要求加盖投标人公章,原件备查。未按要求提供有效证明材料或提供不清晰导致评委无法识别的不计得分。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rPr>
              <w:t>评委</w:t>
            </w:r>
            <w:r>
              <w:rPr>
                <w:rFonts w:hint="eastAsia" w:ascii="宋体" w:hAnsi="宋体" w:cs="仿宋"/>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4</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诚信评审</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5</w:t>
            </w:r>
          </w:p>
        </w:tc>
        <w:tc>
          <w:tcPr>
            <w:tcW w:w="5953" w:type="dxa"/>
            <w:vAlign w:val="center"/>
          </w:tcPr>
          <w:p>
            <w:pPr>
              <w:pStyle w:val="94"/>
              <w:spacing w:line="360" w:lineRule="exact"/>
              <w:ind w:left="34" w:leftChars="16" w:firstLine="0" w:firstLineChars="0"/>
              <w:rPr>
                <w:rFonts w:asciiTheme="minorEastAsia" w:hAnsiTheme="minorEastAsia" w:eastAsiaTheme="minorEastAsia"/>
                <w:szCs w:val="21"/>
              </w:rPr>
            </w:pPr>
            <w:r>
              <w:rPr>
                <w:rFonts w:hint="eastAsia" w:asciiTheme="minorEastAsia" w:hAnsiTheme="minorEastAsia" w:eastAsiaTheme="minorEastAsia"/>
                <w:szCs w:val="21"/>
              </w:rPr>
              <w:t>根据《深圳市财政局关于印发&lt;深圳市财政局政府采购供应商信用信息管理办法&gt;的通知》（深财规〔2023〕3号）相关规定，如供应商在全国范围内存在因政府采购违法、违规行为受到财政部门罚款等一般行政处罚信息，或者存在该办法第十一条所称在本市集中采购活动中的一般违法失信行为记录信息，且在公示期内的，本项不得分，否则得5分。</w:t>
            </w:r>
          </w:p>
          <w:p>
            <w:pPr>
              <w:tabs>
                <w:tab w:val="left" w:pos="175"/>
              </w:tabs>
              <w:spacing w:line="360" w:lineRule="exact"/>
              <w:ind w:left="33"/>
              <w:jc w:val="left"/>
              <w:rPr>
                <w:rFonts w:ascii="宋体" w:hAnsi="宋体" w:cs="仿宋"/>
                <w:szCs w:val="21"/>
              </w:rPr>
            </w:pPr>
            <w:r>
              <w:rPr>
                <w:rFonts w:hint="eastAsia" w:asciiTheme="minorEastAsia" w:hAnsiTheme="minorEastAsia" w:eastAsiaTheme="minorEastAsia"/>
                <w:szCs w:val="21"/>
              </w:rPr>
              <w:t>（采购代理机构通过“信用中国”、“中国政府采购网”、“深圳市政府采购监管网”以及市、区财政部门认定的其他渠道查询供应商信用信息，投标人无需提供证明材料。）</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rPr>
              <w:t>评委</w:t>
            </w:r>
            <w:r>
              <w:rPr>
                <w:rFonts w:hint="eastAsia" w:ascii="宋体" w:hAnsi="宋体" w:cs="仿宋"/>
                <w:szCs w:val="21"/>
                <w:lang w:val="zh-CN"/>
              </w:rPr>
              <w:t>打分</w:t>
            </w:r>
          </w:p>
        </w:tc>
      </w:tr>
    </w:tbl>
    <w:p>
      <w:pPr>
        <w:pStyle w:val="4"/>
        <w:spacing w:before="0" w:after="0"/>
        <w:jc w:val="left"/>
        <w:rPr>
          <w:rFonts w:asciiTheme="minorEastAsia" w:hAnsiTheme="minorEastAsia"/>
          <w:bCs w:val="0"/>
          <w:sz w:val="21"/>
          <w:szCs w:val="21"/>
        </w:rPr>
      </w:pPr>
      <w:bookmarkStart w:id="20" w:name="_Toc44690703"/>
      <w:bookmarkStart w:id="21" w:name="_Toc135293165"/>
      <w:bookmarkStart w:id="22" w:name="_Toc44691162"/>
      <w:bookmarkStart w:id="23" w:name="_Toc44690430"/>
      <w:bookmarkStart w:id="24" w:name="_Toc44691394"/>
      <w:r>
        <w:rPr>
          <w:rFonts w:hint="eastAsia" w:asciiTheme="minorEastAsia" w:hAnsiTheme="minorEastAsia"/>
          <w:bCs w:val="0"/>
          <w:sz w:val="21"/>
          <w:szCs w:val="21"/>
        </w:rPr>
        <w:t>备注：</w:t>
      </w:r>
      <w:bookmarkEnd w:id="20"/>
      <w:bookmarkEnd w:id="21"/>
      <w:bookmarkEnd w:id="22"/>
      <w:bookmarkEnd w:id="23"/>
      <w:bookmarkEnd w:id="24"/>
    </w:p>
    <w:p>
      <w:pPr>
        <w:pStyle w:val="3"/>
        <w:spacing w:before="0" w:after="0"/>
      </w:pPr>
      <w:bookmarkStart w:id="25" w:name="_Toc135293166"/>
      <w:r>
        <w:rPr>
          <w:rFonts w:hint="eastAsia"/>
        </w:rPr>
        <w:t>1、资质证书有效期</w:t>
      </w:r>
      <w:bookmarkEnd w:id="2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3"/>
        <w:spacing w:before="0" w:after="0"/>
        <w:rPr>
          <w:rFonts w:asciiTheme="minorEastAsia" w:hAnsiTheme="minorEastAsia" w:eastAsiaTheme="minorEastAsia"/>
        </w:rPr>
      </w:pPr>
      <w:bookmarkStart w:id="26" w:name="_Toc135293167"/>
      <w:r>
        <w:rPr>
          <w:rFonts w:hint="eastAsia" w:asciiTheme="minorEastAsia" w:hAnsiTheme="minorEastAsia" w:eastAsiaTheme="minorEastAsia"/>
        </w:rPr>
        <w:t>2、政府采购扶持政策</w:t>
      </w:r>
      <w:bookmarkEnd w:id="26"/>
    </w:p>
    <w:p>
      <w:pPr>
        <w:spacing w:after="60" w:line="360" w:lineRule="auto"/>
        <w:ind w:firstLine="426" w:firstLineChars="202"/>
        <w:rPr>
          <w:rFonts w:ascii="宋体" w:hAnsi="宋体"/>
          <w:b/>
          <w:snapToGrid w:val="0"/>
          <w:szCs w:val="21"/>
        </w:rPr>
      </w:pPr>
      <w:r>
        <w:rPr>
          <w:rFonts w:hint="eastAsia" w:ascii="宋体" w:hAnsi="宋体"/>
          <w:b/>
          <w:snapToGrid w:val="0"/>
          <w:szCs w:val="21"/>
          <w:highlight w:val="yellow"/>
        </w:rPr>
        <w:t>（一）本项目所属行业为</w:t>
      </w:r>
      <w:r>
        <w:rPr>
          <w:rFonts w:hint="eastAsia" w:ascii="宋体" w:hAnsi="宋体"/>
          <w:b/>
          <w:snapToGrid w:val="0"/>
          <w:szCs w:val="21"/>
          <w:highlight w:val="yellow"/>
          <w:u w:val="single"/>
        </w:rPr>
        <w:t xml:space="preserve"> 其他未列明行业 </w:t>
      </w:r>
      <w:r>
        <w:rPr>
          <w:rFonts w:hint="eastAsia" w:ascii="宋体" w:hAnsi="宋体"/>
          <w:b/>
          <w:snapToGrid w:val="0"/>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spacing w:line="360" w:lineRule="auto"/>
        <w:ind w:firstLine="422" w:firstLineChars="200"/>
        <w:rPr>
          <w:rFonts w:asciiTheme="minorEastAsia" w:hAnsiTheme="minorEastAsia" w:eastAsiaTheme="minorEastAsia"/>
          <w:b/>
          <w:bCs/>
          <w:szCs w:val="22"/>
        </w:rPr>
      </w:pPr>
      <w:r>
        <w:rPr>
          <w:rFonts w:hint="eastAsia" w:asciiTheme="minorEastAsia" w:hAnsiTheme="minorEastAsia" w:eastAsiaTheme="minorEastAsia"/>
          <w:b/>
          <w:bCs/>
          <w:szCs w:val="22"/>
        </w:rPr>
        <w:t>（二）价格评审优惠</w:t>
      </w:r>
    </w:p>
    <w:p>
      <w:pPr>
        <w:spacing w:line="360" w:lineRule="auto"/>
        <w:ind w:firstLine="371" w:firstLineChars="177"/>
        <w:rPr>
          <w:rFonts w:cs="仿宋" w:asciiTheme="minorEastAsia" w:hAnsiTheme="minorEastAsia" w:eastAsiaTheme="minorEastAsia"/>
          <w:szCs w:val="21"/>
        </w:rPr>
      </w:pPr>
      <w:r>
        <w:rPr>
          <w:rFonts w:hint="eastAsia" w:asciiTheme="minorEastAsia" w:hAnsiTheme="minorEastAsia" w:eastAsiaTheme="minorEastAsia"/>
          <w:szCs w:val="21"/>
        </w:rPr>
        <w:t>□</w:t>
      </w:r>
      <w:r>
        <w:rPr>
          <w:rFonts w:hint="eastAsia" w:ascii="Calibri" w:hAnsi="宋体"/>
        </w:rPr>
        <w:t>预留份额专门面向中小企业采购的采购项目或采购包</w:t>
      </w:r>
      <w:r>
        <w:rPr>
          <w:rFonts w:hint="eastAsia" w:cs="仿宋" w:asciiTheme="minorEastAsia" w:hAnsiTheme="minorEastAsia" w:eastAsiaTheme="minorEastAsia"/>
          <w:szCs w:val="21"/>
        </w:rPr>
        <w:t>：不执行价格评审优惠的扶持政策。</w:t>
      </w:r>
    </w:p>
    <w:p>
      <w:pPr>
        <w:widowControl/>
        <w:spacing w:line="360" w:lineRule="auto"/>
        <w:ind w:firstLine="371" w:firstLineChars="177"/>
        <w:jc w:val="left"/>
        <w:rPr>
          <w:rFonts w:cs="仿宋" w:asciiTheme="minorEastAsia" w:hAnsiTheme="minorEastAsia" w:eastAsiaTheme="minorEastAsia"/>
          <w:szCs w:val="21"/>
        </w:rPr>
      </w:pPr>
      <w:r>
        <w:rPr>
          <w:rFonts w:hint="eastAsia" w:ascii="宋体" w:eastAsia="MS Mincho" w:cs="MS Mincho" w:hAnsiTheme="minorEastAsia"/>
          <w:kern w:val="0"/>
          <w:szCs w:val="21"/>
        </w:rPr>
        <w:t>☑</w:t>
      </w:r>
      <w:r>
        <w:rPr>
          <w:rFonts w:hint="eastAsia" w:ascii="Segoe UI Symbol" w:hAnsi="Segoe UI Symbol"/>
        </w:rPr>
        <w:t>未</w:t>
      </w:r>
      <w:r>
        <w:rPr>
          <w:rFonts w:hint="eastAsia" w:ascii="Calibri" w:hAnsi="宋体"/>
        </w:rPr>
        <w:t>预留份额专门面向中小企业采购的采购项目或采购包</w:t>
      </w:r>
      <w:r>
        <w:rPr>
          <w:rFonts w:hint="eastAsia" w:asciiTheme="minorEastAsia" w:hAnsiTheme="minorEastAsia" w:eastAsiaTheme="minorEastAsia"/>
          <w:szCs w:val="21"/>
        </w:rPr>
        <w:t>：</w:t>
      </w:r>
    </w:p>
    <w:p>
      <w:pPr>
        <w:spacing w:line="360" w:lineRule="auto"/>
        <w:ind w:firstLine="424" w:firstLineChars="202"/>
        <w:rPr>
          <w:rFonts w:asciiTheme="minorEastAsia" w:hAnsiTheme="minorEastAsia" w:eastAsiaTheme="minorEastAsia"/>
          <w:szCs w:val="22"/>
        </w:rPr>
      </w:pPr>
      <w:r>
        <w:rPr>
          <w:rFonts w:hint="eastAsia" w:asciiTheme="minorEastAsia" w:hAnsiTheme="minorEastAsia" w:eastAsiaTheme="minorEastAsia"/>
          <w:szCs w:val="22"/>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szCs w:val="22"/>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szCs w:val="22"/>
        </w:rPr>
        <w:t>其投标报价扣除</w:t>
      </w:r>
      <w:r>
        <w:rPr>
          <w:rFonts w:hint="eastAsia" w:asciiTheme="minorEastAsia" w:hAnsiTheme="minorEastAsia" w:eastAsiaTheme="minorEastAsia"/>
          <w:b/>
          <w:szCs w:val="22"/>
          <w:u w:val="single"/>
        </w:rPr>
        <w:t xml:space="preserve"> 10 </w:t>
      </w:r>
      <w:r>
        <w:rPr>
          <w:rFonts w:hint="eastAsia" w:asciiTheme="minorEastAsia" w:hAnsiTheme="minorEastAsia" w:eastAsiaTheme="minorEastAsia"/>
          <w:b/>
          <w:szCs w:val="22"/>
        </w:rPr>
        <w:t>%（请在10%-20%范围内选择）后参与评审</w:t>
      </w:r>
      <w:r>
        <w:rPr>
          <w:rFonts w:hint="eastAsia" w:asciiTheme="minorEastAsia" w:hAnsiTheme="minorEastAsia" w:eastAsiaTheme="minorEastAsia"/>
          <w:szCs w:val="22"/>
        </w:rPr>
        <w:t>。</w:t>
      </w:r>
    </w:p>
    <w:p>
      <w:pPr>
        <w:spacing w:line="360" w:lineRule="auto"/>
        <w:ind w:firstLine="424" w:firstLineChars="202"/>
        <w:rPr>
          <w:rFonts w:asciiTheme="minorEastAsia" w:hAnsiTheme="minorEastAsia" w:eastAsiaTheme="minorEastAsia"/>
          <w:szCs w:val="22"/>
        </w:rPr>
      </w:pPr>
      <w:r>
        <w:rPr>
          <w:rFonts w:hint="eastAsia" w:asciiTheme="minorEastAsia" w:hAnsiTheme="minorEastAsia" w:eastAsiaTheme="minorEastAsia"/>
          <w:szCs w:val="22"/>
        </w:rPr>
        <w:t>（2）联合协议中约定，小型、微型企业的协议合同金额占到联合体协议合同总金额30%以上的，可给予</w:t>
      </w:r>
      <w:r>
        <w:rPr>
          <w:rFonts w:hint="eastAsia" w:asciiTheme="minorEastAsia" w:hAnsiTheme="minorEastAsia" w:eastAsiaTheme="minorEastAsia"/>
          <w:b/>
          <w:szCs w:val="22"/>
        </w:rPr>
        <w:t>联合体</w:t>
      </w:r>
      <w:r>
        <w:rPr>
          <w:rFonts w:hint="eastAsia" w:asciiTheme="minorEastAsia" w:hAnsiTheme="minorEastAsia" w:eastAsiaTheme="minorEastAsia"/>
          <w:b/>
          <w:szCs w:val="22"/>
          <w:u w:val="single"/>
        </w:rPr>
        <w:t xml:space="preserve"> / </w:t>
      </w:r>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（请在4</w:t>
      </w:r>
      <w:r>
        <w:rPr>
          <w:rFonts w:asciiTheme="minorEastAsia" w:hAnsiTheme="minorEastAsia" w:eastAsiaTheme="minorEastAsia"/>
          <w:b/>
          <w:szCs w:val="22"/>
        </w:rPr>
        <w:t>%-</w:t>
      </w:r>
      <w:r>
        <w:rPr>
          <w:rFonts w:hint="eastAsia" w:asciiTheme="minorEastAsia" w:hAnsiTheme="minorEastAsia" w:eastAsiaTheme="minorEastAsia"/>
          <w:b/>
          <w:szCs w:val="22"/>
        </w:rPr>
        <w:t>6</w:t>
      </w:r>
      <w:r>
        <w:rPr>
          <w:rFonts w:asciiTheme="minorEastAsia" w:hAnsiTheme="minorEastAsia" w:eastAsiaTheme="minorEastAsia"/>
          <w:b/>
          <w:szCs w:val="22"/>
        </w:rPr>
        <w:t>%</w:t>
      </w:r>
      <w:r>
        <w:rPr>
          <w:rFonts w:hint="eastAsia" w:asciiTheme="minorEastAsia" w:hAnsiTheme="minorEastAsia" w:eastAsiaTheme="minorEastAsia"/>
          <w:b/>
          <w:szCs w:val="22"/>
        </w:rPr>
        <w:t>范围内选择）</w:t>
      </w:r>
      <w:r>
        <w:rPr>
          <w:rFonts w:hint="eastAsia" w:asciiTheme="minorEastAsia" w:hAnsiTheme="minorEastAsia" w:eastAsiaTheme="minorEastAsia"/>
          <w:szCs w:val="22"/>
        </w:rPr>
        <w:t>的价格扣除</w:t>
      </w:r>
      <w:r>
        <w:rPr>
          <w:rFonts w:hint="eastAsia" w:ascii="宋体" w:hAnsi="宋体"/>
          <w:szCs w:val="22"/>
        </w:rPr>
        <w:t>，用扣除后的价格参与评审</w:t>
      </w:r>
      <w:r>
        <w:rPr>
          <w:rFonts w:hint="eastAsia" w:asciiTheme="minorEastAsia" w:hAnsiTheme="minorEastAsia" w:eastAsiaTheme="minorEastAsia"/>
          <w:szCs w:val="22"/>
        </w:rPr>
        <w:t>。如联合体各方均为小型、微型企业，联合体视同为小型、微型企业，享受</w:t>
      </w:r>
      <w:r>
        <w:rPr>
          <w:rFonts w:hint="eastAsia" w:asciiTheme="minorEastAsia" w:hAnsiTheme="minorEastAsia" w:eastAsiaTheme="minorEastAsia"/>
          <w:b/>
          <w:szCs w:val="22"/>
        </w:rPr>
        <w:t>第（1）项</w:t>
      </w:r>
      <w:r>
        <w:rPr>
          <w:rFonts w:hint="eastAsia" w:asciiTheme="minorEastAsia" w:hAnsiTheme="minorEastAsia" w:eastAsiaTheme="minorEastAsia"/>
          <w:szCs w:val="22"/>
        </w:rPr>
        <w:t>的评审优惠。</w:t>
      </w:r>
    </w:p>
    <w:p>
      <w:pPr>
        <w:spacing w:after="60" w:line="360" w:lineRule="auto"/>
        <w:ind w:firstLine="424" w:firstLineChars="202"/>
        <w:rPr>
          <w:rFonts w:ascii="宋体" w:hAnsi="宋体"/>
          <w:szCs w:val="22"/>
        </w:rPr>
      </w:pPr>
      <w:r>
        <w:rPr>
          <w:rFonts w:hint="eastAsia" w:ascii="宋体" w:hAnsi="宋体"/>
          <w:szCs w:val="22"/>
        </w:rPr>
        <w:t>（3）分包意向协议约定，小型、微型企业的协议合同金额占到合同总金额30%以上的，可给予投标人</w:t>
      </w:r>
      <w:r>
        <w:rPr>
          <w:rFonts w:hint="eastAsia" w:ascii="宋体" w:hAnsi="宋体"/>
          <w:b/>
          <w:szCs w:val="22"/>
          <w:u w:val="single"/>
        </w:rPr>
        <w:t xml:space="preserve">  </w:t>
      </w:r>
      <w:r>
        <w:rPr>
          <w:rFonts w:hint="eastAsia" w:asciiTheme="minorEastAsia" w:hAnsiTheme="minorEastAsia" w:eastAsiaTheme="minorEastAsia"/>
          <w:b/>
          <w:szCs w:val="22"/>
          <w:u w:val="single"/>
        </w:rPr>
        <w:t xml:space="preserve">/  </w:t>
      </w:r>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（请在4</w:t>
      </w:r>
      <w:r>
        <w:rPr>
          <w:rFonts w:asciiTheme="minorEastAsia" w:hAnsiTheme="minorEastAsia" w:eastAsiaTheme="minorEastAsia"/>
          <w:b/>
          <w:szCs w:val="22"/>
        </w:rPr>
        <w:t>%-</w:t>
      </w:r>
      <w:r>
        <w:rPr>
          <w:rFonts w:hint="eastAsia" w:asciiTheme="minorEastAsia" w:hAnsiTheme="minorEastAsia" w:eastAsiaTheme="minorEastAsia"/>
          <w:b/>
          <w:szCs w:val="22"/>
        </w:rPr>
        <w:t>6</w:t>
      </w:r>
      <w:r>
        <w:rPr>
          <w:rFonts w:asciiTheme="minorEastAsia" w:hAnsiTheme="minorEastAsia" w:eastAsiaTheme="minorEastAsia"/>
          <w:b/>
          <w:szCs w:val="22"/>
        </w:rPr>
        <w:t>%</w:t>
      </w:r>
      <w:r>
        <w:rPr>
          <w:rFonts w:hint="eastAsia" w:asciiTheme="minorEastAsia" w:hAnsiTheme="minorEastAsia" w:eastAsiaTheme="minorEastAsia"/>
          <w:b/>
          <w:szCs w:val="22"/>
        </w:rPr>
        <w:t>范围内选择）</w:t>
      </w:r>
      <w:r>
        <w:rPr>
          <w:rFonts w:hint="eastAsia" w:asciiTheme="minorEastAsia" w:hAnsiTheme="minorEastAsia" w:eastAsiaTheme="minorEastAsia"/>
          <w:szCs w:val="22"/>
        </w:rPr>
        <w:t>的价格扣除</w:t>
      </w:r>
      <w:r>
        <w:rPr>
          <w:rFonts w:hint="eastAsia" w:ascii="宋体" w:hAnsi="宋体"/>
          <w:szCs w:val="22"/>
        </w:rPr>
        <w:t>，用扣除后的价格参与评审。</w:t>
      </w:r>
    </w:p>
    <w:p>
      <w:pPr>
        <w:spacing w:after="60" w:line="360" w:lineRule="auto"/>
        <w:ind w:firstLine="424" w:firstLineChars="202"/>
        <w:rPr>
          <w:rFonts w:ascii="宋体" w:hAnsi="宋体"/>
          <w:szCs w:val="22"/>
        </w:rPr>
      </w:pPr>
      <w:r>
        <w:rPr>
          <w:rFonts w:hint="eastAsia" w:ascii="宋体" w:hAnsi="宋体"/>
          <w:szCs w:val="22"/>
        </w:rPr>
        <w:t>（4）</w:t>
      </w:r>
      <w:r>
        <w:rPr>
          <w:rFonts w:hint="eastAsia" w:asciiTheme="minorEastAsia" w:hAnsiTheme="minorEastAsia" w:eastAsiaTheme="minorEastAsia"/>
          <w:szCs w:val="22"/>
        </w:rPr>
        <w:t>如供应商为</w:t>
      </w:r>
      <w:r>
        <w:rPr>
          <w:rFonts w:hint="eastAsia" w:ascii="Calibri" w:hAnsi="宋体"/>
          <w:szCs w:val="22"/>
        </w:rPr>
        <w:t>监狱企业</w:t>
      </w:r>
      <w:r>
        <w:rPr>
          <w:rFonts w:hint="eastAsia" w:ascii="Calibri" w:hAnsi="宋体"/>
          <w:szCs w:val="21"/>
        </w:rPr>
        <w:t>或残疾人福利性单位，</w:t>
      </w:r>
      <w:r>
        <w:rPr>
          <w:rFonts w:hint="eastAsia" w:ascii="Calibri" w:hAnsi="宋体"/>
          <w:szCs w:val="22"/>
        </w:rPr>
        <w:t>视同</w:t>
      </w:r>
      <w:r>
        <w:rPr>
          <w:rFonts w:hint="eastAsia" w:asciiTheme="minorEastAsia" w:hAnsiTheme="minorEastAsia" w:eastAsiaTheme="minorEastAsia"/>
          <w:szCs w:val="22"/>
        </w:rPr>
        <w:t>小型、微型企业，</w:t>
      </w:r>
      <w:r>
        <w:rPr>
          <w:rFonts w:hint="eastAsia" w:ascii="Calibri" w:hAnsi="宋体"/>
          <w:szCs w:val="22"/>
        </w:rPr>
        <w:t>享受以上预留份额、评审中价格扣除等政府采购促进中小企业发展的政府采购政策；</w:t>
      </w:r>
      <w:r>
        <w:rPr>
          <w:rFonts w:hint="eastAsia" w:asciiTheme="minorEastAsia" w:hAnsiTheme="minorEastAsia" w:eastAsiaTheme="minorEastAsia"/>
          <w:szCs w:val="22"/>
        </w:rPr>
        <w:t>对于同时属于小型、微型企业、监狱企业或残疾人福利性单位的供应商，不重复享受政策。</w:t>
      </w:r>
    </w:p>
    <w:p>
      <w:pPr>
        <w:spacing w:after="60" w:line="360" w:lineRule="auto"/>
        <w:ind w:firstLine="424" w:firstLineChars="202"/>
        <w:rPr>
          <w:rFonts w:ascii="宋体" w:hAnsi="宋体"/>
          <w:szCs w:val="22"/>
        </w:rPr>
      </w:pPr>
      <w:r>
        <w:rPr>
          <w:rFonts w:hint="eastAsia" w:ascii="宋体" w:hAnsi="宋体"/>
          <w:szCs w:val="22"/>
        </w:rPr>
        <w:t>（5）优惠主体资格的认定资料为《中小企业声明函》、《残疾人福利性单位声明函》以及《监狱企业声明函》等承诺性质的资料；监狱企业或者代理提供监狱企业货物的供应商如需享受优惠政策，除上述资料外，还须提供省级以上监狱管理局、戒毒管理局出具的监狱企业证明文件。</w:t>
      </w:r>
    </w:p>
    <w:p>
      <w:pPr>
        <w:spacing w:line="360" w:lineRule="auto"/>
        <w:ind w:firstLine="422" w:firstLineChars="200"/>
        <w:rPr>
          <w:rFonts w:asciiTheme="minorEastAsia" w:hAnsiTheme="minorEastAsia" w:eastAsiaTheme="minorEastAsia"/>
          <w:b/>
          <w:bCs/>
          <w:szCs w:val="22"/>
        </w:rPr>
      </w:pPr>
      <w:r>
        <w:rPr>
          <w:rFonts w:hint="eastAsia" w:asciiTheme="minorEastAsia" w:hAnsiTheme="minorEastAsia" w:eastAsiaTheme="minorEastAsia"/>
          <w:b/>
          <w:bCs/>
          <w:szCs w:val="22"/>
        </w:rPr>
        <w:t>（三）绿色采购</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（1）投标产品属于《关于调整优化节能产品环境标志产品政府采购执行机制的通知》（财库〔2019〕9号）、《关于印发环境标志产品政府采购品目清单的通知》（财库〔2019〕18号）和《关于印发节能产品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autoSpaceDE w:val="0"/>
        <w:autoSpaceDN w:val="0"/>
        <w:adjustRightInd w:val="0"/>
        <w:spacing w:line="360" w:lineRule="auto"/>
        <w:ind w:firstLine="369" w:firstLineChars="176"/>
        <w:jc w:val="left"/>
        <w:rPr>
          <w:rFonts w:ascii="宋体" w:hAnsi="宋体" w:eastAsia="黑体"/>
          <w:b/>
          <w:bCs/>
          <w:kern w:val="44"/>
          <w:sz w:val="28"/>
          <w:szCs w:val="44"/>
        </w:rPr>
      </w:pPr>
      <w:r>
        <w:rPr>
          <w:rFonts w:hint="eastAsia" w:asciiTheme="minorEastAsia" w:hAnsiTheme="minorEastAsia" w:eastAsiaTheme="minorEastAsia"/>
          <w:szCs w:val="21"/>
        </w:rPr>
        <w:t>（2）按照《深圳市财政局关于大力推广政府绿色采购有关事项的通知（深财购〔2023〕49号）》相关要求，严格执行绿色采购需求标准。采购单位严格执行《商品包装政府采购需求标准（试行）》、《快递包装政府采购需求标准（试行）》（财办库〔2020〕123号）、《绿色建筑和绿色建材政府采购需求标准》（财办库〔2022〕35号）、《绿色数据中心政府采购需求标准（试行）》（财办库〔2023〕7号）等需求标准，依据相关需求标准确定采购需求，在采购文件和采购合同中载明具体需求、履约验收条款和违约责任，促进绿色包装、绿色运输、绿色建筑、绿色建材和绿色数据中心在政府采购领域的应用。加大新能源汽车采购力度。积极推广合同能源管理。鼓励公共机构推广应用合同能源管理，借助市场化手段，通过实施应用节能新技术、新产品，不断提高能源利用效率，为公共机构节能减排提供有力支持和保障。</w:t>
      </w:r>
    </w:p>
    <w:p>
      <w:pPr>
        <w:spacing w:line="360" w:lineRule="auto"/>
        <w:ind w:firstLine="422" w:firstLineChars="200"/>
        <w:rPr>
          <w:rFonts w:ascii="宋体" w:hAnsi="宋体"/>
          <w:b/>
          <w:szCs w:val="21"/>
        </w:rPr>
      </w:pPr>
      <w:r>
        <w:rPr>
          <w:rFonts w:hint="eastAsia" w:asciiTheme="minorEastAsia" w:hAnsiTheme="minorEastAsia" w:eastAsiaTheme="minorEastAsia"/>
          <w:b/>
          <w:szCs w:val="21"/>
        </w:rPr>
        <w:t>（四）</w:t>
      </w:r>
      <w:r>
        <w:rPr>
          <w:rFonts w:hint="eastAsia"/>
          <w:b/>
        </w:rPr>
        <w:t>其他说明</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p>
    <w:p>
      <w:pPr>
        <w:spacing w:line="360" w:lineRule="auto"/>
        <w:ind w:firstLine="424" w:firstLineChars="202"/>
      </w:pPr>
    </w:p>
    <w:p>
      <w:pPr>
        <w:spacing w:line="360" w:lineRule="auto"/>
        <w:ind w:firstLine="424" w:firstLineChars="202"/>
      </w:pPr>
    </w:p>
    <w:p>
      <w:pPr>
        <w:widowControl/>
        <w:jc w:val="left"/>
      </w:pPr>
      <w:r>
        <w:br w:type="page"/>
      </w:r>
    </w:p>
    <w:p>
      <w:pPr>
        <w:widowControl/>
        <w:jc w:val="left"/>
      </w:pPr>
    </w:p>
    <w:p>
      <w:pPr>
        <w:pStyle w:val="2"/>
      </w:pPr>
      <w:bookmarkStart w:id="27" w:name="_Toc135293168"/>
      <w:r>
        <w:rPr>
          <w:rFonts w:hint="eastAsia"/>
        </w:rPr>
        <w:t>第五章  投标人须知前附表</w:t>
      </w:r>
      <w:bookmarkEnd w:id="2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pPr>
            <w:r>
              <w:rPr>
                <w:rFonts w:hint="eastAsia"/>
              </w:rPr>
              <w:t>制样及质量管理辅助服务项目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hAnsi="宋体"/>
                <w:szCs w:val="24"/>
              </w:rPr>
              <w:t>深圳市质量安全检验检测研究院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采购代理机构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财政资金/□自筹资金/□其它资金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00" w:lineRule="auto"/>
              <w:rPr>
                <w:rFonts w:hAnsi="宋体"/>
                <w:szCs w:val="21"/>
              </w:rPr>
            </w:pPr>
            <w:r>
              <w:rPr>
                <w:rFonts w:hint="eastAsia" w:hAnsi="宋体"/>
                <w:szCs w:val="21"/>
              </w:rPr>
              <w:t>详见《第一章 投标邀请》“申请人的资格要求”</w:t>
            </w:r>
            <w:r>
              <w:rPr>
                <w:rFonts w:hAnsi="宋体"/>
                <w:szCs w:val="21"/>
              </w:rPr>
              <w:t xml:space="preserve"> </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r>
              <w:rPr>
                <w:rFonts w:hint="eastAsia"/>
                <w:snapToGrid w:val="0"/>
              </w:rPr>
              <w:t>，由各投标人自行查看现场。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 xml:space="preserve">正本1份，副本 </w:t>
            </w:r>
            <w:r>
              <w:rPr>
                <w:rFonts w:hint="eastAsia" w:asciiTheme="minorEastAsia" w:hAnsiTheme="minorEastAsia" w:eastAsiaTheme="minorEastAsia"/>
              </w:rPr>
              <w:t>5</w:t>
            </w:r>
            <w:r>
              <w:rPr>
                <w:rFonts w:asciiTheme="minorEastAsia" w:hAnsiTheme="minorEastAsia" w:eastAsiaTheme="minorEastAsia"/>
              </w:rPr>
              <w:t xml:space="preserve"> 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投标文件必须标注页码并装订成册</w:t>
            </w:r>
            <w:r>
              <w:rPr>
                <w:rFonts w:hint="eastAsia" w:asciiTheme="minorEastAsia" w:hAnsiTheme="minorEastAsia" w:eastAsiaTheme="minorEastAsia"/>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rPr>
            </w:pPr>
            <w:r>
              <w:rPr>
                <w:rFonts w:hint="eastAsia" w:hAnsi="宋体"/>
                <w:szCs w:val="21"/>
              </w:rPr>
              <w:t>详见《第一章 投标邀请》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szCs w:val="21"/>
              </w:rPr>
              <w:t>详见《第一章 投标邀请》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asciiTheme="minorEastAsia" w:hAnsiTheme="minorEastAsia" w:eastAsiaTheme="minorEastAsia"/>
                <w:szCs w:val="21"/>
              </w:rPr>
            </w:pPr>
            <w:r>
              <w:rPr>
                <w:rFonts w:hint="eastAsia" w:asciiTheme="minorEastAsia" w:hAnsiTheme="minorEastAsia" w:eastAsiaTheme="minorEastAsia"/>
                <w:szCs w:val="21"/>
              </w:rPr>
              <w:t>按深财购[2018]27号文件规定的代理费用参考标准，向中标供应商收取中标服务费，具体如下：</w:t>
            </w:r>
          </w:p>
          <w:p>
            <w:pPr>
              <w:pStyle w:val="26"/>
              <w:spacing w:line="360" w:lineRule="auto"/>
              <w:rPr>
                <w:rFonts w:asciiTheme="minorEastAsia" w:hAnsiTheme="minorEastAsia" w:eastAsiaTheme="minorEastAsia"/>
              </w:rPr>
            </w:pPr>
            <w:r>
              <w:rPr>
                <w:rFonts w:hint="eastAsia" w:hAnsi="宋体" w:eastAsia="MS Mincho" w:cs="MS Mincho"/>
                <w:sz w:val="24"/>
                <w:szCs w:val="24"/>
              </w:rPr>
              <w:t>☑</w:t>
            </w:r>
            <w:r>
              <w:rPr>
                <w:rFonts w:hint="eastAsia" w:asciiTheme="minorEastAsia" w:hAnsiTheme="minorEastAsia" w:eastAsiaTheme="minorEastAsia"/>
                <w:szCs w:val="21"/>
              </w:rPr>
              <w:t>以中标金额作为计算依据</w:t>
            </w:r>
            <w:r>
              <w:rPr>
                <w:rFonts w:hint="eastAsia" w:asciiTheme="minorEastAsia" w:hAnsiTheme="minorEastAsia" w:eastAsiaTheme="minorEastAsia"/>
              </w:rPr>
              <w:t>，费用下浮</w:t>
            </w:r>
            <w:r>
              <w:rPr>
                <w:rFonts w:hint="eastAsia" w:asciiTheme="minorEastAsia" w:hAnsiTheme="minorEastAsia" w:eastAsiaTheme="minorEastAsia"/>
                <w:u w:val="single"/>
              </w:rPr>
              <w:t xml:space="preserve">  0  </w:t>
            </w:r>
            <w:r>
              <w:rPr>
                <w:rFonts w:hint="eastAsia" w:asciiTheme="minorEastAsia" w:hAnsiTheme="minorEastAsia" w:eastAsiaTheme="minorEastAsia"/>
              </w:rPr>
              <w:t>%，最低收取人民币7000元。</w:t>
            </w:r>
          </w:p>
          <w:p>
            <w:pPr>
              <w:pStyle w:val="26"/>
              <w:spacing w:line="360" w:lineRule="auto"/>
              <w:rPr>
                <w:rFonts w:hAnsi="宋体"/>
              </w:rPr>
            </w:pPr>
            <w:r>
              <w:rPr>
                <w:rFonts w:hint="eastAsia" w:hAnsi="宋体"/>
              </w:rPr>
              <w:t>□</w:t>
            </w:r>
            <w:r>
              <w:rPr>
                <w:rFonts w:hint="eastAsia" w:asciiTheme="minorEastAsia" w:hAnsiTheme="minorEastAsia" w:eastAsiaTheme="minorEastAsia"/>
                <w:szCs w:val="21"/>
              </w:rPr>
              <w:t>以预算金额（支付上限）作为计算依据</w:t>
            </w:r>
            <w:r>
              <w:rPr>
                <w:rFonts w:hint="eastAsia" w:asciiTheme="minorEastAsia" w:hAnsiTheme="minorEastAsia" w:eastAsiaTheme="minorEastAsia"/>
              </w:rPr>
              <w:t>，费用下浮</w:t>
            </w:r>
            <w:r>
              <w:rPr>
                <w:rFonts w:hint="eastAsia" w:asciiTheme="minorEastAsia" w:hAnsiTheme="minorEastAsia" w:eastAsiaTheme="minorEastAsia"/>
                <w:u w:val="single"/>
              </w:rPr>
              <w:t xml:space="preserve">  0  </w:t>
            </w:r>
            <w:r>
              <w:rPr>
                <w:rFonts w:hint="eastAsia" w:asciiTheme="minorEastAsia" w:hAnsiTheme="minorEastAsia" w:eastAsiaTheme="minorEastAsia"/>
              </w:rPr>
              <w:t>%，收取中标服务费：人民币</w:t>
            </w:r>
            <w:r>
              <w:rPr>
                <w:rFonts w:hint="eastAsia" w:asciiTheme="minorEastAsia" w:hAnsiTheme="minorEastAsia" w:eastAsiaTheme="minorEastAsia"/>
                <w:u w:val="single"/>
              </w:rPr>
              <w:t xml:space="preserve">        </w:t>
            </w:r>
            <w:r>
              <w:rPr>
                <w:rFonts w:hint="eastAsia" w:asciiTheme="minorEastAsia" w:hAnsiTheme="minorEastAsia" w:eastAsiaTheme="minorEastAsia"/>
              </w:rPr>
              <w:t>元。</w:t>
            </w:r>
          </w:p>
        </w:tc>
      </w:tr>
    </w:tbl>
    <w:p>
      <w:pPr>
        <w:rPr>
          <w:szCs w:val="21"/>
        </w:rPr>
      </w:pPr>
    </w:p>
    <w:p/>
    <w:p/>
    <w:p/>
    <w:p/>
    <w:p/>
    <w:p/>
    <w:p/>
    <w:p/>
    <w:p/>
    <w:p/>
    <w:p/>
    <w:p/>
    <w:p/>
    <w:p/>
    <w:p/>
    <w:p/>
    <w:p/>
    <w:p/>
    <w:p/>
    <w:p/>
    <w:p/>
    <w:p/>
    <w:p/>
    <w:p/>
    <w:p/>
    <w:p/>
    <w:p/>
    <w:p/>
    <w:p/>
    <w:p/>
    <w:p/>
    <w:p/>
    <w:p/>
    <w:p/>
    <w:p/>
    <w:p/>
    <w:p/>
    <w:p/>
    <w:p/>
    <w:p/>
    <w:p/>
    <w:p>
      <w:pPr>
        <w:pStyle w:val="2"/>
      </w:pPr>
      <w:bookmarkStart w:id="28" w:name="_Toc135293169"/>
      <w:r>
        <w:rPr>
          <w:rFonts w:hint="eastAsia"/>
        </w:rPr>
        <w:t>第六章  投标人须知</w:t>
      </w:r>
      <w:bookmarkEnd w:id="28"/>
    </w:p>
    <w:p>
      <w:pPr>
        <w:pStyle w:val="4"/>
        <w:spacing w:before="0" w:after="0"/>
      </w:pPr>
      <w:bookmarkStart w:id="29" w:name="_Toc135293170"/>
      <w:r>
        <w:rPr>
          <w:rFonts w:hint="eastAsia"/>
        </w:rPr>
        <w:t>一、说</w:t>
      </w:r>
      <w:r>
        <w:t xml:space="preserve">  </w:t>
      </w:r>
      <w:r>
        <w:rPr>
          <w:rFonts w:hint="eastAsia"/>
        </w:rPr>
        <w:t>明</w:t>
      </w:r>
      <w:bookmarkEnd w:id="2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”是指前附表第2项所述。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”是提前附表第3项所述。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“投标人”是指向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“货物”是指各种形态和种类的物品，包括原材料、燃料、设备、产品等。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“工程”是指建设工程，包括建筑物和构筑物的新建、改建、扩建、装修、拆除、修缮等。</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“服务”是指除货物和工程以外的其他政府采购对象，包括政府自身需要的服务和政府向社会公众提供的公共服务。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6.1  本项目按前附表第7项的规定安排现场踏勘，以便投标人获取须自己负责的有关编制投标文件和签署合同所需的所有资料。踏勘现场所发生的费用由投标人自己承担。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30" w:name="q5"/>
      <w:bookmarkEnd w:id="30"/>
    </w:p>
    <w:p>
      <w:pPr>
        <w:pStyle w:val="4"/>
        <w:spacing w:before="0" w:after="0"/>
      </w:pPr>
      <w:bookmarkStart w:id="31" w:name="_Toc135293171"/>
      <w:r>
        <w:rPr>
          <w:rFonts w:hint="eastAsia"/>
        </w:rPr>
        <w:t>二、招标文件说明</w:t>
      </w:r>
      <w:bookmarkEnd w:id="3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招标文件是用以阐明所需设备及服务的情况，以及招标、投标程序和相应的合同条款。招标文件由下述部分组成：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4"/>
        <w:spacing w:before="0" w:after="0"/>
      </w:pPr>
      <w:bookmarkStart w:id="32" w:name="q6"/>
      <w:bookmarkEnd w:id="32"/>
      <w:bookmarkStart w:id="33" w:name="_Toc135293172"/>
      <w:r>
        <w:rPr>
          <w:rFonts w:hint="eastAsia"/>
        </w:rPr>
        <w:t>三、投标文件的编写</w:t>
      </w:r>
      <w:bookmarkEnd w:id="3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（2）政府采购违法行为风险知悉确认书</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（5）法定代表人（负责人）证明书及授权委托书（投标文件格式2）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（6）投标函（投标文件格式3）</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hint="eastAsia"/>
          <w:snapToGrid w:val="0"/>
          <w:kern w:val="0"/>
        </w:rPr>
        <w:t>服务方案</w:t>
      </w:r>
      <w:r>
        <w:rPr>
          <w:rFonts w:hint="eastAsia" w:asciiTheme="minorEastAsia" w:hAnsiTheme="minorEastAsia" w:eastAsiaTheme="minorEastAsia"/>
          <w:snapToGrid w:val="0"/>
          <w:kern w:val="0"/>
        </w:rPr>
        <w:t>（投标文件格式7）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 xml:space="preserve"> （投标文件格式8）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（11）偏离表（投标文件格式9）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（12）招标文件要求的其他资料或投标人认为需要补充的资料（投标文件格式10）</w:t>
      </w:r>
    </w:p>
    <w:p>
      <w:pPr>
        <w:adjustRightInd w:val="0"/>
        <w:spacing w:line="360" w:lineRule="auto"/>
        <w:ind w:left="848" w:leftChars="99" w:hanging="640" w:hangingChars="305"/>
        <w:rPr>
          <w:rFonts w:asciiTheme="minorEastAsia" w:hAnsiTheme="minorEastAsia" w:eastAsiaTheme="minorEastAsia"/>
          <w:snapToGrid w:val="0"/>
          <w:kern w:val="0"/>
        </w:rPr>
      </w:pPr>
      <w:r>
        <w:rPr>
          <w:rFonts w:hint="eastAsia" w:asciiTheme="minorEastAsia" w:hAnsiTheme="minorEastAsia" w:eastAsiaTheme="minorEastAsia"/>
          <w:snapToGrid w:val="0"/>
          <w:kern w:val="0"/>
        </w:rPr>
        <w:t>（13）装有“法定代表人（负责人）证明书、法定代表人（负责人）授权委托书”和“开标一览表”单独密封的信封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投标人应分别在招标文件所附的“开标一览表”（投标文件格式5）和“报价表”（投标文件格式6）上写明</w:t>
      </w:r>
      <w:r>
        <w:rPr>
          <w:rFonts w:hint="eastAsia"/>
          <w:snapToGrid w:val="0"/>
          <w:kern w:val="0"/>
        </w:rPr>
        <w:t>投标单价和投标总价</w:t>
      </w:r>
      <w:r>
        <w:rPr>
          <w:rFonts w:hint="eastAsia" w:asciiTheme="minorEastAsia" w:hAnsiTheme="minorEastAsia" w:eastAsiaTheme="minorEastAsia"/>
          <w:snapToGrid w:val="0"/>
          <w:kern w:val="0"/>
        </w:rPr>
        <w:t>。投标人对每种项目只允许有一个报价，采购代理机构不接受有任何选择的报价。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投标人必须提交证明其有资格进行投标，和中标后有能力履行合同的证明文件（投标文件格式1与格式8），作为投标文件的一部分。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snapToGrid w:val="0"/>
          <w:kern w:val="0"/>
        </w:rPr>
        <w:t>以下有关投标保证金的条款仅适用于需要缴纳投标保证金的项目。是否需要缴纳投标保证金以《投标人须知前附表》中的规定或说明为准。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提交一笔不少于前附表第9项所规定的投标保证金。投标保证金为投标文件的组成部分之一。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未中标的投标人的投标保证金，采购代理机构将在中标通知书发出且收到投标人的《投标保证金退还申请表》后5个工作日内退还。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中标方的投标保证金，采购代理机构将在中标方签订合同并支付中标服务费后5个工作日内退还。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已递交了投标保证金的投标人放弃投标，而没有在投标保证金递交截止时间前书面通知采购代理机构的；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如果中标方未能做到：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另行书面通知的时间（招标文件提供期限截止后）和地点，派出代表出席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为了便于投标文件保存，需提交一份投标文件备份光盘（或U盘，内容为投标文件正本盖章扫描件）。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17.6  投标文件必须标注页码并装订成册。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17.7  投标文件不符合上述规定的，为无效投标。</w:t>
      </w:r>
    </w:p>
    <w:p>
      <w:pPr>
        <w:adjustRightInd w:val="0"/>
        <w:spacing w:line="360" w:lineRule="auto"/>
        <w:rPr>
          <w:rFonts w:asciiTheme="minorEastAsia" w:hAnsiTheme="minorEastAsia" w:eastAsiaTheme="minorEastAsia"/>
          <w:snapToGrid w:val="0"/>
          <w:kern w:val="0"/>
        </w:rPr>
      </w:pPr>
    </w:p>
    <w:p>
      <w:pPr>
        <w:pStyle w:val="4"/>
        <w:spacing w:before="0" w:after="0"/>
      </w:pPr>
      <w:bookmarkStart w:id="34" w:name="q7"/>
      <w:bookmarkEnd w:id="34"/>
      <w:bookmarkStart w:id="35" w:name="_Toc135293173"/>
      <w:r>
        <w:rPr>
          <w:rFonts w:hint="eastAsia"/>
        </w:rPr>
        <w:t>四、投标文件的递交</w:t>
      </w:r>
      <w:bookmarkEnd w:id="3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w:t>
      </w:r>
      <w:r>
        <w:rPr>
          <w:rFonts w:hint="eastAsia" w:asciiTheme="minorEastAsia" w:hAnsiTheme="minorEastAsia" w:eastAsiaTheme="minorEastAsia"/>
          <w:snapToGrid w:val="0"/>
          <w:kern w:val="0"/>
        </w:rPr>
        <w:t>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将投标文件“正本”、“副本”和密封好的“备份光盘（或U盘）”一</w:t>
      </w:r>
      <w:r>
        <w:rPr>
          <w:rFonts w:hint="eastAsia"/>
          <w:snapToGrid w:val="0"/>
          <w:kern w:val="0"/>
        </w:rPr>
        <w:t>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投标人应将“法定代表人（负责人）证明书、法定代表人（负责人）授权委托书”和“开标一览表”单独密封于一信封，在递交投标文件时单独交予</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注明：“开标一览表”和“法定代表人（负责人）证明书、法定代表人（负责人）授权委托书”；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投标人应按18.1～18.7中的规定进行密封和标记后，将投标文件按照前附表第12项中注明的地址送至采购代理机构。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36" w:name="_Hlt35050056"/>
      <w:bookmarkEnd w:id="3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4"/>
        <w:spacing w:before="0" w:after="0"/>
      </w:pPr>
      <w:bookmarkStart w:id="37" w:name="q8"/>
      <w:bookmarkEnd w:id="37"/>
      <w:bookmarkStart w:id="38" w:name="_Toc135293174"/>
      <w:r>
        <w:rPr>
          <w:rFonts w:hint="eastAsia"/>
        </w:rPr>
        <w:t>五、开标和评标</w:t>
      </w:r>
      <w:bookmarkEnd w:id="3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22.2.3  投标人未参加开标的，视同认可开标结果。投标人不足3家的，不得开标。</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招标机构就投标文件中的资格证明等内容对投标供应商进行资格性审查，审查不合格的，认定其投标无效。合格投标人不足3家的，不得评标。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zCs w:val="21"/>
        </w:rPr>
        <w:t>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24.8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snapToGrid w:val="0"/>
          <w:kern w:val="0"/>
        </w:rPr>
      </w:pPr>
      <w:r>
        <w:rPr>
          <w:rFonts w:hint="eastAsia" w:asciiTheme="minorEastAsia" w:hAnsiTheme="minorEastAsia" w:eastAsiaTheme="minorEastAsia"/>
          <w:snapToGrid w:val="0"/>
          <w:kern w:val="0"/>
        </w:rPr>
        <w:t xml:space="preserve">24.9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24.10 经</w:t>
      </w:r>
      <w:r>
        <w:rPr>
          <w:rFonts w:hint="eastAsia"/>
          <w:snapToGrid w:val="0"/>
          <w:kern w:val="0"/>
        </w:rPr>
        <w:t>评标委员会审查，</w:t>
      </w:r>
      <w:r>
        <w:rPr>
          <w:rFonts w:hint="eastAsia" w:ascii="宋体" w:hAnsi="宋体" w:cs="仿宋_GB2312"/>
          <w:kern w:val="0"/>
          <w:szCs w:val="21"/>
        </w:rPr>
        <w:t>有效投标的供应商不足三家的，按公开招标失败处理。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评标方法和标准”所述进行详细评审，并推荐候选中标供应商。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39" w:name="q9"/>
      <w:bookmarkEnd w:id="39"/>
    </w:p>
    <w:p>
      <w:pPr>
        <w:pStyle w:val="4"/>
        <w:spacing w:before="0" w:after="0"/>
      </w:pPr>
      <w:bookmarkStart w:id="40" w:name="_Toc135293175"/>
      <w:r>
        <w:rPr>
          <w:rFonts w:hint="eastAsia"/>
        </w:rPr>
        <w:t>六、授予合同</w:t>
      </w:r>
      <w:bookmarkEnd w:id="4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中标方向采购代理机构支付中标服务费后，领取《中标通知书》。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中标方应按《中标通知书》或按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招标文件、中标方的投标文件及其澄清文件等，均为签订合同的依据。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中标方须按招标文件的规定或根据合同条款的规定向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6"/>
        <w:gridCol w:w="2056"/>
        <w:gridCol w:w="2056"/>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166" w:type="dxa"/>
          </w:tcPr>
          <w:p>
            <w:pPr>
              <w:ind w:firstLine="1219" w:firstLineChars="578"/>
              <w:rPr>
                <w:rFonts w:ascii="宋体" w:hAnsi="宋体"/>
                <w:b/>
                <w:szCs w:val="21"/>
              </w:rPr>
            </w:pPr>
            <w:r>
              <w:rPr>
                <w:rFonts w:ascii="宋体" w:hAnsi="宋体"/>
                <w:b/>
                <w:szCs w:val="21"/>
              </w:rPr>
              <w:pict>
                <v:line id="直线 6" o:spid="_x0000_s1051" o:spt="20" style="position:absolute;left:0pt;flip:x y;margin-left:48.8pt;margin-top:0.9pt;height:57.65pt;width:114.3pt;z-index:251665408;mso-width-relative:page;mso-height-relative:page;" coordsize="21600,21600" o:allowincell="f" o:gfxdata="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ho4KQdAAAAAIAQAADwAAAAAAAAABACAA&#10;AAAiAAAAZHJzL2Rvd25yZXYueG1sUEsBAhQAFAAAAAgAh07iQCuupHzcAQAApgMAAA4AAAAAAAAA&#10;AQAgAAAAHwEAAGRycy9lMm9Eb2MueG1sUEsFBgAAAAAGAAYAWQEAAG0FAAAAAA==&#10;">
                  <v:path arrowok="t"/>
                  <v:fill focussize="0,0"/>
                  <v:stroke/>
                  <v:imagedata o:title=""/>
                  <o:lock v:ext="edit"/>
                </v:line>
              </w:pict>
            </w:r>
            <w:r>
              <w:rPr>
                <w:rFonts w:ascii="宋体" w:hAnsi="宋体"/>
                <w:b/>
                <w:szCs w:val="21"/>
              </w:rPr>
              <w:pict>
                <v:line id="直线 7" o:spid="_x0000_s1052" o:spt="20" style="position:absolute;left:0pt;flip:x y;margin-left:7.1pt;margin-top:25.35pt;height:33.2pt;width:156pt;z-index:251666432;mso-width-relative:page;mso-height-relative:page;" coordsize="21600,21600" o:allowincell="f" o:gfxdata="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gVUKbUAAAACgEAAA8AAAAAAAAA&#10;AQAgAAAAIgAAAGRycy9kb3ducmV2LnhtbFBLAQIUABQAAAAIAIdO4kClKU/S3AEAAKYDAAAOAAAA&#10;AAAAAAEAIAAAACMBAABkcnMvZTJvRG9jLnhtbFBLBQYAAAAABgAGAFkBAABxBQAAAAA=&#10;">
                  <v:path arrowok="t"/>
                  <v:fill focussize="0,0"/>
                  <v:stroke/>
                  <v:imagedata o:title=""/>
                  <o:lock v:ext="edit"/>
                </v:line>
              </w:pict>
            </w:r>
            <w:r>
              <w:rPr>
                <w:rFonts w:ascii="宋体" w:hAnsi="宋体"/>
                <w:b/>
                <w:szCs w:val="21"/>
              </w:rPr>
              <w:pict>
                <v:line id="直线 5" o:spid="_x0000_s1050" o:spt="20" style="position:absolute;left:0pt;margin-left:-9pt;margin-top:-0.5pt;height:0pt;width:0.05pt;z-index:251664384;mso-width-relative:page;mso-height-relative:page;" coordsize="21600,21600" o:allowincell="f" o:gfxdata="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G0d729IAAAAJAQAADwAAAAAAAAABACAAAAAiAAAAZHJzL2Rvd25yZXYueG1s&#10;UEsBAhQAFAAAAAgAh07iQPoFRwzFAQAAhwMAAA4AAAAAAAAAAQAgAAAAIQEAAGRycy9lMm9Eb2Mu&#10;eG1sUEsFBgAAAAAGAAYAWQEAAFgFAAAAAA==&#10;">
                  <v:path arrowok="t"/>
                  <v:fill focussize="0,0"/>
                  <v:stroke/>
                  <v:imagedata o:title=""/>
                  <o:lock v:ext="edit"/>
                </v:line>
              </w:pict>
            </w:r>
            <w:r>
              <w:rPr>
                <w:rFonts w:hint="eastAsia" w:ascii="宋体" w:hAnsi="宋体"/>
                <w:b/>
                <w:szCs w:val="21"/>
              </w:rPr>
              <w:t xml:space="preserve">    服务类型</w:t>
            </w:r>
          </w:p>
          <w:p>
            <w:pPr>
              <w:ind w:firstLine="392" w:firstLineChars="186"/>
              <w:rPr>
                <w:rFonts w:ascii="宋体" w:hAnsi="宋体"/>
                <w:b/>
                <w:szCs w:val="21"/>
              </w:rPr>
            </w:pPr>
            <w:r>
              <w:rPr>
                <w:rFonts w:hint="eastAsia" w:ascii="宋体" w:hAnsi="宋体"/>
                <w:b/>
                <w:szCs w:val="21"/>
              </w:rPr>
              <w:t>费率　　　　　</w:t>
            </w:r>
          </w:p>
          <w:p>
            <w:pPr>
              <w:ind w:firstLine="1054"/>
              <w:rPr>
                <w:rFonts w:ascii="宋体" w:hAnsi="宋体"/>
                <w:b/>
                <w:szCs w:val="21"/>
              </w:rPr>
            </w:pPr>
            <w:r>
              <w:rPr>
                <w:rFonts w:hint="eastAsia" w:ascii="宋体" w:hAnsi="宋体"/>
                <w:b/>
                <w:szCs w:val="21"/>
              </w:rPr>
              <w:t>　　　</w:t>
            </w:r>
          </w:p>
          <w:p>
            <w:pPr>
              <w:rPr>
                <w:rFonts w:ascii="宋体" w:hAnsi="宋体"/>
                <w:b/>
                <w:szCs w:val="21"/>
              </w:rPr>
            </w:pPr>
            <w:r>
              <w:rPr>
                <w:rFonts w:hint="eastAsia" w:ascii="宋体" w:hAnsi="宋体"/>
                <w:b/>
                <w:szCs w:val="21"/>
              </w:rPr>
              <w:t>中标金额</w:t>
            </w:r>
          </w:p>
        </w:tc>
        <w:tc>
          <w:tcPr>
            <w:tcW w:w="2056" w:type="dxa"/>
            <w:vAlign w:val="center"/>
          </w:tcPr>
          <w:p>
            <w:pPr>
              <w:jc w:val="center"/>
              <w:rPr>
                <w:rFonts w:ascii="宋体" w:hAnsi="宋体"/>
                <w:b/>
                <w:szCs w:val="21"/>
              </w:rPr>
            </w:pPr>
            <w:r>
              <w:rPr>
                <w:rFonts w:hint="eastAsia" w:ascii="宋体" w:hAnsi="宋体"/>
                <w:b/>
                <w:szCs w:val="21"/>
              </w:rPr>
              <w:t>货物采购</w:t>
            </w:r>
          </w:p>
        </w:tc>
        <w:tc>
          <w:tcPr>
            <w:tcW w:w="2056" w:type="dxa"/>
            <w:vAlign w:val="center"/>
          </w:tcPr>
          <w:p>
            <w:pPr>
              <w:jc w:val="center"/>
              <w:rPr>
                <w:rFonts w:ascii="宋体" w:hAnsi="宋体"/>
                <w:b/>
                <w:szCs w:val="21"/>
              </w:rPr>
            </w:pPr>
            <w:r>
              <w:rPr>
                <w:rFonts w:hint="eastAsia" w:ascii="宋体" w:hAnsi="宋体"/>
                <w:b/>
                <w:szCs w:val="21"/>
              </w:rPr>
              <w:t>服务采购</w:t>
            </w:r>
          </w:p>
        </w:tc>
        <w:tc>
          <w:tcPr>
            <w:tcW w:w="2057" w:type="dxa"/>
            <w:vAlign w:val="center"/>
          </w:tcPr>
          <w:p>
            <w:pPr>
              <w:jc w:val="center"/>
              <w:rPr>
                <w:rFonts w:ascii="宋体" w:hAnsi="宋体"/>
                <w:b/>
                <w:szCs w:val="21"/>
              </w:rPr>
            </w:pPr>
            <w:r>
              <w:rPr>
                <w:rFonts w:hint="eastAsia" w:ascii="宋体" w:hAnsi="宋体"/>
                <w:b/>
                <w:szCs w:val="21"/>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100万元以下</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100万元（含）-500万元</w:t>
            </w:r>
          </w:p>
        </w:tc>
        <w:tc>
          <w:tcPr>
            <w:tcW w:w="2056" w:type="dxa"/>
            <w:vAlign w:val="center"/>
          </w:tcPr>
          <w:p>
            <w:pPr>
              <w:widowControl/>
              <w:jc w:val="center"/>
              <w:rPr>
                <w:rFonts w:ascii="宋体" w:hAnsi="宋体"/>
                <w:kern w:val="0"/>
                <w:szCs w:val="21"/>
              </w:rPr>
            </w:pPr>
            <w:r>
              <w:rPr>
                <w:rFonts w:hint="eastAsia" w:ascii="宋体" w:hAnsi="宋体"/>
                <w:kern w:val="0"/>
                <w:szCs w:val="21"/>
              </w:rPr>
              <w:t>1.100%</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500万元（含）-1000万元</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6" w:type="dxa"/>
            <w:vAlign w:val="center"/>
          </w:tcPr>
          <w:p>
            <w:pPr>
              <w:widowControl/>
              <w:jc w:val="center"/>
              <w:rPr>
                <w:rFonts w:ascii="宋体" w:hAnsi="宋体"/>
                <w:kern w:val="0"/>
                <w:szCs w:val="21"/>
              </w:rPr>
            </w:pPr>
            <w:r>
              <w:rPr>
                <w:rFonts w:hint="eastAsia" w:ascii="宋体" w:hAnsi="宋体"/>
                <w:kern w:val="0"/>
                <w:szCs w:val="21"/>
              </w:rPr>
              <w:t>0.450%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1000万元（含）-5000万元</w:t>
            </w:r>
          </w:p>
        </w:tc>
        <w:tc>
          <w:tcPr>
            <w:tcW w:w="2056" w:type="dxa"/>
            <w:vAlign w:val="center"/>
          </w:tcPr>
          <w:p>
            <w:pPr>
              <w:widowControl/>
              <w:jc w:val="center"/>
              <w:rPr>
                <w:rFonts w:ascii="宋体" w:hAnsi="宋体"/>
                <w:kern w:val="0"/>
                <w:szCs w:val="21"/>
              </w:rPr>
            </w:pPr>
            <w:r>
              <w:rPr>
                <w:rFonts w:hint="eastAsia" w:ascii="宋体" w:hAnsi="宋体"/>
                <w:kern w:val="0"/>
                <w:szCs w:val="21"/>
              </w:rPr>
              <w:t>0.500%</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5000万元（含）-1亿元</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6" w:type="dxa"/>
            <w:vAlign w:val="center"/>
          </w:tcPr>
          <w:p>
            <w:pPr>
              <w:widowControl/>
              <w:jc w:val="center"/>
              <w:rPr>
                <w:rFonts w:ascii="宋体" w:hAnsi="宋体"/>
                <w:kern w:val="0"/>
                <w:szCs w:val="21"/>
              </w:rPr>
            </w:pPr>
            <w:r>
              <w:rPr>
                <w:rFonts w:hint="eastAsia" w:ascii="宋体" w:hAnsi="宋体"/>
                <w:kern w:val="0"/>
                <w:szCs w:val="21"/>
              </w:rPr>
              <w:t>0.100%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1亿元（含）-5亿元</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5亿元（含）-10亿元</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10亿元（含）-50亿元</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50亿元（含）-100亿元</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100亿元（含）以上</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0.004%</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注：1、中标服务费按差额定率累进法计算。例如：某服务类项目中标金额为1000万元，计算中标服务费如下：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（500-100）万元×0.8%=3.2万元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（1000-500）×0.45%=2.25万元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合计收费=1.5+3.2+2.25＝6.95（万元）</w:t>
      </w:r>
    </w:p>
    <w:p>
      <w:pPr>
        <w:spacing w:line="360" w:lineRule="auto"/>
        <w:ind w:firstLine="1044" w:firstLineChars="200"/>
        <w:rPr>
          <w:b/>
          <w:sz w:val="52"/>
          <w:szCs w:val="52"/>
        </w:rPr>
      </w:pPr>
    </w:p>
    <w:p>
      <w:pPr>
        <w:pStyle w:val="4"/>
        <w:spacing w:before="0" w:after="0"/>
      </w:pPr>
      <w:bookmarkStart w:id="41" w:name="_Toc135293176"/>
      <w:r>
        <w:rPr>
          <w:rFonts w:hint="eastAsia"/>
        </w:rPr>
        <w:t>七、质疑处理</w:t>
      </w:r>
      <w:bookmarkEnd w:id="41"/>
    </w:p>
    <w:p>
      <w:pPr>
        <w:spacing w:line="360" w:lineRule="auto"/>
        <w:rPr>
          <w:rFonts w:asciiTheme="majorEastAsia" w:hAnsiTheme="majorEastAsia" w:eastAsiaTheme="majorEastAsia"/>
          <w:b/>
          <w:bCs/>
          <w:szCs w:val="21"/>
        </w:rPr>
      </w:pPr>
      <w:bookmarkStart w:id="42" w:name="_Hlk72439706"/>
      <w:r>
        <w:rPr>
          <w:rFonts w:hint="eastAsia" w:asciiTheme="majorEastAsia" w:hAnsiTheme="majorEastAsia" w:eastAsiaTheme="majorEastAsia"/>
          <w:b/>
          <w:bCs/>
          <w:szCs w:val="21"/>
        </w:rPr>
        <w:t>35.质疑提出与答复</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43" w:name="_Hlk75374941"/>
      <w:r>
        <w:rPr>
          <w:rFonts w:hint="eastAsia" w:asciiTheme="majorEastAsia" w:hAnsiTheme="majorEastAsia" w:eastAsiaTheme="majorEastAsia"/>
          <w:szCs w:val="21"/>
        </w:rPr>
        <w:t>以联合体形式参与的，质疑应当由组成联合体的所有成员共同提出</w:t>
      </w:r>
      <w:bookmarkEnd w:id="43"/>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采购代理机构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35.7质疑答复时限</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35.8投诉</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对质疑答复不满意或者未在规定时间内答复的，提出质疑的供应商可以在答复期满后15个工作日内向同级财政部门投诉。</w:t>
      </w:r>
      <w:bookmarkEnd w:id="42"/>
    </w:p>
    <w:p/>
    <w:p/>
    <w:p/>
    <w:p/>
    <w:p/>
    <w:p/>
    <w:p/>
    <w:p/>
    <w:p/>
    <w:p/>
    <w:p/>
    <w:p/>
    <w:p/>
    <w:p/>
    <w:p/>
    <w:p/>
    <w:p/>
    <w:p>
      <w:pPr>
        <w:pStyle w:val="2"/>
      </w:pPr>
      <w:bookmarkStart w:id="44" w:name="_Toc135293177"/>
      <w:r>
        <w:rPr>
          <w:rFonts w:hint="eastAsia"/>
        </w:rPr>
        <w:t>第七章  投标文件格式</w:t>
      </w:r>
      <w:bookmarkEnd w:id="44"/>
    </w:p>
    <w:p>
      <w:pPr>
        <w:jc w:val="center"/>
        <w:rPr>
          <w:b/>
          <w:sz w:val="52"/>
          <w:szCs w:val="52"/>
        </w:rPr>
      </w:pPr>
    </w:p>
    <w:p>
      <w:pPr>
        <w:pStyle w:val="4"/>
        <w:spacing w:line="400" w:lineRule="exact"/>
        <w:rPr>
          <w:rFonts w:ascii="仿宋" w:hAnsi="仿宋" w:eastAsia="仿宋"/>
        </w:rPr>
      </w:pPr>
      <w:bookmarkStart w:id="45" w:name="_Toc44691395"/>
      <w:bookmarkStart w:id="46" w:name="_Toc44690704"/>
      <w:bookmarkStart w:id="47" w:name="_Toc11772"/>
      <w:bookmarkStart w:id="48" w:name="_Toc44691163"/>
      <w:bookmarkStart w:id="49" w:name="_Toc14934"/>
      <w:bookmarkStart w:id="50" w:name="_Toc44690431"/>
      <w:bookmarkStart w:id="51" w:name="_Toc31468"/>
      <w:bookmarkStart w:id="52" w:name="_Toc135293178"/>
      <w:bookmarkStart w:id="53" w:name="_Toc25194"/>
      <w:r>
        <w:rPr>
          <w:rFonts w:hint="eastAsia" w:ascii="仿宋" w:hAnsi="仿宋" w:eastAsia="仿宋"/>
        </w:rPr>
        <w:t>投标文件编制说明</w:t>
      </w:r>
      <w:bookmarkEnd w:id="45"/>
      <w:bookmarkEnd w:id="46"/>
      <w:bookmarkEnd w:id="47"/>
      <w:bookmarkEnd w:id="48"/>
      <w:bookmarkEnd w:id="49"/>
      <w:bookmarkEnd w:id="50"/>
      <w:bookmarkEnd w:id="51"/>
      <w:bookmarkEnd w:id="52"/>
      <w:bookmarkEnd w:id="53"/>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详见第六章“投标人须知”第17-18条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法定代表人（负责人）证明书、法定代表人（负责人）授权委托书和开标一览表（封包2）。</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注：</w:t>
            </w:r>
            <w:r>
              <w:rPr>
                <w:rFonts w:hint="eastAsia" w:asciiTheme="minorEastAsia" w:hAnsiTheme="minorEastAsia" w:eastAsiaTheme="minorEastAsia"/>
                <w:snapToGrid w:val="0"/>
                <w:kern w:val="0"/>
              </w:rPr>
              <w:t>投标文件必须标注页码并装订成册。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b/>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spacing w:line="400" w:lineRule="exact"/>
        <w:rPr>
          <w:rFonts w:ascii="仿宋" w:hAnsi="仿宋" w:eastAsia="仿宋"/>
        </w:rPr>
      </w:pPr>
      <w:bookmarkStart w:id="54" w:name="_投标文件格式（第一册）"/>
      <w:bookmarkEnd w:id="54"/>
      <w:bookmarkStart w:id="55" w:name="q0"/>
    </w:p>
    <w:p>
      <w:pPr>
        <w:spacing w:line="400" w:lineRule="exact"/>
        <w:rPr>
          <w:rFonts w:ascii="仿宋" w:hAnsi="仿宋" w:eastAsia="仿宋"/>
        </w:rPr>
      </w:pPr>
    </w:p>
    <w:p>
      <w:pPr>
        <w:spacing w:line="400" w:lineRule="exact"/>
        <w:rPr>
          <w:rFonts w:ascii="仿宋" w:hAnsi="仿宋" w:eastAsia="仿宋"/>
        </w:rPr>
      </w:pPr>
    </w:p>
    <w:p>
      <w:pPr>
        <w:pStyle w:val="4"/>
        <w:spacing w:line="400" w:lineRule="exact"/>
        <w:rPr>
          <w:rFonts w:ascii="仿宋" w:hAnsi="仿宋" w:eastAsia="仿宋"/>
        </w:rPr>
      </w:pPr>
      <w:bookmarkStart w:id="56" w:name="_Toc135293179"/>
      <w:r>
        <w:rPr>
          <w:rFonts w:hint="eastAsia" w:ascii="仿宋" w:hAnsi="仿宋" w:eastAsia="仿宋"/>
        </w:rPr>
        <w:t>投标文件格式</w:t>
      </w:r>
      <w:bookmarkEnd w:id="56"/>
    </w:p>
    <w:bookmarkEnd w:id="55"/>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目录（自拟）</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政府采购违法行为风险知悉确认书</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评标指引表</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投标人资格证明文件（格式1）</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法定代表人证明书及授权委托书（格式2）</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投标函（格式3）</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评分中涉及的承诺及声明函（格式4）</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开标一览表（格式5）</w:t>
      </w:r>
    </w:p>
    <w:p>
      <w:pPr>
        <w:adjustRightInd w:val="0"/>
        <w:spacing w:line="360" w:lineRule="auto"/>
        <w:ind w:firstLine="422" w:firstLineChars="200"/>
        <w:rPr>
          <w:rFonts w:asciiTheme="minorEastAsia" w:hAnsiTheme="minorEastAsia" w:eastAsiaTheme="minorEastAsia"/>
          <w:b/>
          <w:bCs/>
          <w:snapToGrid w:val="0"/>
          <w:kern w:val="0"/>
          <w:szCs w:val="21"/>
        </w:rPr>
      </w:pPr>
      <w:r>
        <w:rPr>
          <w:rFonts w:hint="eastAsia" w:asciiTheme="minorEastAsia" w:hAnsiTheme="minorEastAsia" w:eastAsiaTheme="minorEastAsia"/>
          <w:b/>
          <w:snapToGrid w:val="0"/>
          <w:kern w:val="0"/>
          <w:szCs w:val="21"/>
        </w:rPr>
        <w:t>注：此表应与“法定代表人（负责人）证明书、法定代表人（负责人）授权委托书”一起密封于一信封，在递交投标文件时单独交予</w:t>
      </w:r>
      <w:r>
        <w:rPr>
          <w:rFonts w:hint="eastAsia" w:asciiTheme="minorEastAsia" w:hAnsiTheme="minorEastAsia" w:eastAsiaTheme="minorEastAsia"/>
          <w:b/>
          <w:bCs/>
          <w:snapToGrid w:val="0"/>
          <w:kern w:val="0"/>
          <w:szCs w:val="21"/>
        </w:rPr>
        <w:t>采购代理机构。</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报价表（格式6）</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服务方案</w:t>
      </w:r>
      <w:r>
        <w:rPr>
          <w:rFonts w:asciiTheme="minorEastAsia" w:hAnsiTheme="minorEastAsia" w:eastAsiaTheme="minorEastAsia"/>
          <w:snapToGrid w:val="0"/>
          <w:kern w:val="0"/>
          <w:szCs w:val="21"/>
        </w:rPr>
        <w:t>（格式</w:t>
      </w:r>
      <w:r>
        <w:rPr>
          <w:rFonts w:hint="eastAsia" w:asciiTheme="minorEastAsia" w:hAnsiTheme="minorEastAsia" w:eastAsiaTheme="minorEastAsia"/>
          <w:snapToGrid w:val="0"/>
          <w:kern w:val="0"/>
          <w:szCs w:val="21"/>
        </w:rPr>
        <w:t>7</w:t>
      </w:r>
      <w:r>
        <w:rPr>
          <w:rFonts w:asciiTheme="minorEastAsia" w:hAnsiTheme="minorEastAsia" w:eastAsiaTheme="minorEastAsia"/>
          <w:snapToGrid w:val="0"/>
          <w:kern w:val="0"/>
          <w:szCs w:val="21"/>
        </w:rPr>
        <w:t>）</w:t>
      </w:r>
    </w:p>
    <w:p>
      <w:pPr>
        <w:pStyle w:val="455"/>
        <w:numPr>
          <w:ilvl w:val="0"/>
          <w:numId w:val="4"/>
        </w:numPr>
        <w:adjustRightInd w:val="0"/>
        <w:spacing w:line="360" w:lineRule="auto"/>
        <w:ind w:firstLineChars="0"/>
        <w:rPr>
          <w:rFonts w:asciiTheme="minorEastAsia" w:hAnsiTheme="minorEastAsia" w:eastAsiaTheme="minorEastAsia"/>
          <w:snapToGrid w:val="0"/>
          <w:kern w:val="0"/>
        </w:rPr>
      </w:pP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w:t>
      </w:r>
      <w:r>
        <w:rPr>
          <w:rFonts w:asciiTheme="minorEastAsia" w:hAnsiTheme="minorEastAsia" w:eastAsiaTheme="minorEastAsia"/>
          <w:snapToGrid w:val="0"/>
          <w:kern w:val="0"/>
        </w:rPr>
        <w:t>格式</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偏离</w:t>
      </w:r>
      <w:r>
        <w:rPr>
          <w:rFonts w:asciiTheme="minorEastAsia" w:hAnsiTheme="minorEastAsia" w:eastAsiaTheme="minorEastAsia"/>
          <w:snapToGrid w:val="0"/>
          <w:kern w:val="0"/>
          <w:szCs w:val="21"/>
        </w:rPr>
        <w:t>表（格式</w:t>
      </w:r>
      <w:r>
        <w:rPr>
          <w:rFonts w:hint="eastAsia" w:asciiTheme="minorEastAsia" w:hAnsiTheme="minorEastAsia" w:eastAsiaTheme="minorEastAsia"/>
          <w:snapToGrid w:val="0"/>
          <w:kern w:val="0"/>
          <w:szCs w:val="21"/>
        </w:rPr>
        <w:t>9</w:t>
      </w:r>
      <w:r>
        <w:rPr>
          <w:rFonts w:asciiTheme="minorEastAsia" w:hAnsiTheme="minorEastAsia" w:eastAsiaTheme="minorEastAsia"/>
          <w:snapToGrid w:val="0"/>
          <w:kern w:val="0"/>
          <w:szCs w:val="21"/>
        </w:rPr>
        <w:t>）</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招标文件要求的其他资料或投标人认为需要补充的资料</w:t>
      </w:r>
      <w:r>
        <w:rPr>
          <w:rFonts w:hint="eastAsia" w:asciiTheme="minorEastAsia" w:hAnsiTheme="minorEastAsia" w:eastAsiaTheme="minorEastAsia"/>
          <w:snapToGrid w:val="0"/>
          <w:kern w:val="0"/>
          <w:szCs w:val="21"/>
        </w:rPr>
        <w:t>（格式10）</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57" w:name="_格式1__投标人资格证明文件"/>
      <w:bookmarkEnd w:id="57"/>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pStyle w:val="4"/>
        <w:spacing w:line="400" w:lineRule="exact"/>
        <w:rPr>
          <w:rFonts w:ascii="仿宋" w:hAnsi="仿宋" w:eastAsia="仿宋"/>
        </w:rPr>
      </w:pPr>
      <w:bookmarkStart w:id="58" w:name="_Toc135293180"/>
      <w:bookmarkStart w:id="59" w:name="_Toc73613640"/>
      <w:r>
        <w:rPr>
          <w:rFonts w:hint="eastAsia" w:ascii="仿宋" w:hAnsi="仿宋" w:eastAsia="仿宋"/>
        </w:rPr>
        <w:t>政府采购违法行为风险知悉确认书</w:t>
      </w:r>
      <w:bookmarkEnd w:id="58"/>
    </w:p>
    <w:p>
      <w:pPr>
        <w:spacing w:line="360" w:lineRule="auto"/>
        <w:ind w:firstLine="420" w:firstLineChars="200"/>
        <w:rPr>
          <w:rFonts w:ascii="宋体" w:hAnsi="宋体"/>
          <w:szCs w:val="21"/>
        </w:rPr>
      </w:pPr>
      <w:r>
        <w:rPr>
          <w:rFonts w:hint="eastAsia" w:ascii="宋体" w:hAnsi="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宋体" w:hAnsi="宋体"/>
          <w:b/>
          <w:szCs w:val="21"/>
        </w:rPr>
      </w:pPr>
      <w:r>
        <w:rPr>
          <w:rFonts w:hint="eastAsia" w:ascii="宋体" w:hAnsi="宋体"/>
          <w:b/>
          <w:szCs w:val="21"/>
        </w:rPr>
        <w:t>一、本公司已充分知悉“隐瞒真实情况，提供虚假资料”的法定情形，相关情形包括但不限于：</w:t>
      </w:r>
    </w:p>
    <w:p>
      <w:pPr>
        <w:spacing w:line="360" w:lineRule="auto"/>
        <w:ind w:firstLine="420" w:firstLineChars="200"/>
        <w:rPr>
          <w:rFonts w:ascii="宋体" w:hAnsi="宋体"/>
          <w:szCs w:val="21"/>
        </w:rPr>
      </w:pPr>
      <w:r>
        <w:rPr>
          <w:rFonts w:hint="eastAsia" w:ascii="宋体" w:hAnsi="宋体"/>
          <w:szCs w:val="21"/>
        </w:rPr>
        <w:t>（一）通过转让或者租借等方式从其他单位获取资格或者资质证书投标的。</w:t>
      </w:r>
    </w:p>
    <w:p>
      <w:pPr>
        <w:spacing w:line="360" w:lineRule="auto"/>
        <w:ind w:firstLine="420" w:firstLineChars="200"/>
        <w:rPr>
          <w:rFonts w:ascii="宋体" w:hAnsi="宋体"/>
          <w:szCs w:val="21"/>
        </w:rPr>
      </w:pPr>
      <w:r>
        <w:rPr>
          <w:rFonts w:hint="eastAsia" w:ascii="宋体" w:hAnsi="宋体"/>
          <w:szCs w:val="21"/>
        </w:rPr>
        <w:t>（二）由其他单位或者其他单位负责人在投标供应商编制的投标文件上加盖印章或者签字的。</w:t>
      </w:r>
    </w:p>
    <w:p>
      <w:pPr>
        <w:spacing w:line="360" w:lineRule="auto"/>
        <w:ind w:firstLine="420" w:firstLineChars="200"/>
        <w:rPr>
          <w:rFonts w:ascii="宋体" w:hAnsi="宋体"/>
          <w:szCs w:val="21"/>
        </w:rPr>
      </w:pPr>
      <w:r>
        <w:rPr>
          <w:rFonts w:hint="eastAsia" w:ascii="宋体" w:hAnsi="宋体"/>
          <w:szCs w:val="21"/>
        </w:rPr>
        <w:t>（三）项目负责人或者主要技术人员不是本单位人员的。</w:t>
      </w:r>
    </w:p>
    <w:p>
      <w:pPr>
        <w:spacing w:line="360" w:lineRule="auto"/>
        <w:ind w:firstLine="420" w:firstLineChars="200"/>
        <w:rPr>
          <w:rFonts w:ascii="宋体" w:hAnsi="宋体"/>
          <w:szCs w:val="21"/>
        </w:rPr>
      </w:pPr>
      <w:r>
        <w:rPr>
          <w:rFonts w:hint="eastAsia" w:ascii="宋体" w:hAnsi="宋体"/>
          <w:szCs w:val="21"/>
        </w:rPr>
        <w:t>（四）投标保证金不是从投标供应商基本账户转出的。</w:t>
      </w:r>
    </w:p>
    <w:p>
      <w:pPr>
        <w:spacing w:line="360" w:lineRule="auto"/>
        <w:ind w:firstLine="420" w:firstLineChars="200"/>
        <w:rPr>
          <w:rFonts w:ascii="宋体" w:hAnsi="宋体"/>
          <w:szCs w:val="21"/>
        </w:rPr>
      </w:pPr>
      <w:r>
        <w:rPr>
          <w:rFonts w:hint="eastAsia" w:ascii="宋体" w:hAnsi="宋体"/>
          <w:szCs w:val="21"/>
        </w:rPr>
        <w:t>（五）其他隐瞒真实情况、提供虚假资料的行为。</w:t>
      </w:r>
    </w:p>
    <w:p>
      <w:pPr>
        <w:spacing w:line="360" w:lineRule="auto"/>
        <w:ind w:firstLine="422" w:firstLineChars="200"/>
        <w:rPr>
          <w:rFonts w:ascii="宋体" w:hAnsi="宋体"/>
          <w:b/>
          <w:szCs w:val="21"/>
        </w:rPr>
      </w:pPr>
      <w:r>
        <w:rPr>
          <w:rFonts w:hint="eastAsia" w:ascii="宋体" w:hAnsi="宋体"/>
          <w:b/>
          <w:szCs w:val="21"/>
        </w:rPr>
        <w:t>二、本公司已充分知悉“与其他采购参加人串通投标”的法定情形，相关情形包括但不限于：</w:t>
      </w:r>
    </w:p>
    <w:p>
      <w:pPr>
        <w:spacing w:line="360" w:lineRule="auto"/>
        <w:ind w:firstLine="420" w:firstLineChars="200"/>
        <w:rPr>
          <w:rFonts w:ascii="宋体" w:hAnsi="宋体"/>
          <w:szCs w:val="21"/>
        </w:rPr>
      </w:pPr>
      <w:r>
        <w:rPr>
          <w:rFonts w:hint="eastAsia" w:ascii="宋体" w:hAnsi="宋体"/>
          <w:szCs w:val="21"/>
        </w:rPr>
        <w:t>（一）投标供应商之间相互约定给予未中标的供应商利益补偿。</w:t>
      </w:r>
    </w:p>
    <w:p>
      <w:pPr>
        <w:spacing w:line="360" w:lineRule="auto"/>
        <w:ind w:firstLine="420" w:firstLineChars="200"/>
        <w:rPr>
          <w:rFonts w:ascii="宋体" w:hAnsi="宋体"/>
          <w:szCs w:val="21"/>
        </w:rPr>
      </w:pPr>
      <w:r>
        <w:rPr>
          <w:rFonts w:hint="eastAsia" w:ascii="宋体" w:hAnsi="宋体"/>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szCs w:val="21"/>
        </w:rPr>
      </w:pPr>
      <w:r>
        <w:rPr>
          <w:rFonts w:hint="eastAsia" w:ascii="宋体" w:hAnsi="宋体"/>
          <w:szCs w:val="21"/>
        </w:rPr>
        <w:t>（三）不同投标供应商的投标文件由同一单位或者同一人编制，或者由同一人分阶段参与编制的。</w:t>
      </w:r>
    </w:p>
    <w:p>
      <w:pPr>
        <w:spacing w:line="360" w:lineRule="auto"/>
        <w:ind w:firstLine="420" w:firstLineChars="200"/>
        <w:rPr>
          <w:rFonts w:ascii="宋体" w:hAnsi="宋体"/>
          <w:szCs w:val="21"/>
        </w:rPr>
      </w:pPr>
      <w:r>
        <w:rPr>
          <w:rFonts w:hint="eastAsia" w:ascii="宋体" w:hAnsi="宋体"/>
          <w:szCs w:val="21"/>
        </w:rPr>
        <w:t>（四）不同投标供应商的投标文件或部分投标文件相互混装。</w:t>
      </w:r>
    </w:p>
    <w:p>
      <w:pPr>
        <w:spacing w:line="360" w:lineRule="auto"/>
        <w:ind w:firstLine="420" w:firstLineChars="200"/>
        <w:rPr>
          <w:rFonts w:ascii="宋体" w:hAnsi="宋体"/>
          <w:szCs w:val="21"/>
        </w:rPr>
      </w:pPr>
      <w:r>
        <w:rPr>
          <w:rFonts w:hint="eastAsia" w:ascii="宋体" w:hAnsi="宋体"/>
          <w:szCs w:val="21"/>
        </w:rPr>
        <w:t>（五）不同投标供应商的投标文件内容存在非正常一致。</w:t>
      </w:r>
    </w:p>
    <w:p>
      <w:pPr>
        <w:spacing w:line="360" w:lineRule="auto"/>
        <w:ind w:firstLine="420" w:firstLineChars="200"/>
        <w:rPr>
          <w:rFonts w:ascii="宋体" w:hAnsi="宋体"/>
          <w:szCs w:val="21"/>
        </w:rPr>
      </w:pPr>
      <w:r>
        <w:rPr>
          <w:rFonts w:hint="eastAsia" w:ascii="宋体" w:hAnsi="宋体"/>
          <w:szCs w:val="21"/>
        </w:rPr>
        <w:t>（六）由同一单位工作人员为两家以上（含两家）供应商进行同一项投标活动的。</w:t>
      </w:r>
    </w:p>
    <w:p>
      <w:pPr>
        <w:spacing w:line="360" w:lineRule="auto"/>
        <w:ind w:firstLine="420" w:firstLineChars="200"/>
        <w:rPr>
          <w:rFonts w:ascii="宋体" w:hAnsi="宋体"/>
          <w:szCs w:val="21"/>
        </w:rPr>
      </w:pPr>
      <w:r>
        <w:rPr>
          <w:rFonts w:hint="eastAsia" w:ascii="宋体" w:hAnsi="宋体"/>
          <w:szCs w:val="21"/>
        </w:rPr>
        <w:t>（七）不同投标人的投标报价呈规律性差异。</w:t>
      </w:r>
    </w:p>
    <w:p>
      <w:pPr>
        <w:spacing w:line="360" w:lineRule="auto"/>
        <w:ind w:firstLine="420" w:firstLineChars="200"/>
        <w:rPr>
          <w:rFonts w:ascii="宋体" w:hAnsi="宋体"/>
          <w:szCs w:val="21"/>
        </w:rPr>
      </w:pPr>
      <w:r>
        <w:rPr>
          <w:rFonts w:hint="eastAsia" w:ascii="宋体" w:hAnsi="宋体"/>
          <w:szCs w:val="21"/>
        </w:rPr>
        <w:t>（八）不同投标人的投标保证金从同一单位或者个人的账户转出。</w:t>
      </w:r>
    </w:p>
    <w:p>
      <w:pPr>
        <w:spacing w:line="360" w:lineRule="auto"/>
        <w:ind w:firstLine="420" w:firstLineChars="200"/>
        <w:rPr>
          <w:rFonts w:ascii="宋体" w:hAnsi="宋体"/>
          <w:szCs w:val="21"/>
        </w:rPr>
      </w:pPr>
      <w:r>
        <w:rPr>
          <w:rFonts w:hint="eastAsia" w:ascii="宋体" w:hAnsi="宋体"/>
          <w:szCs w:val="21"/>
        </w:rPr>
        <w:t>（九）主管部门依照法律、法规认定的其他情形。</w:t>
      </w:r>
    </w:p>
    <w:p>
      <w:pPr>
        <w:spacing w:line="360" w:lineRule="auto"/>
        <w:ind w:firstLine="422" w:firstLineChars="200"/>
        <w:rPr>
          <w:rFonts w:ascii="宋体" w:hAnsi="宋体"/>
          <w:b/>
          <w:szCs w:val="21"/>
        </w:rPr>
      </w:pPr>
      <w:r>
        <w:rPr>
          <w:rFonts w:hint="eastAsia" w:ascii="宋体" w:hAnsi="宋体"/>
          <w:b/>
          <w:szCs w:val="21"/>
        </w:rPr>
        <w:t>三、本公司已充分知悉下列情形所对应的法律风险，并在投标前已对相关风险事项进行排查。</w:t>
      </w:r>
    </w:p>
    <w:p>
      <w:pPr>
        <w:spacing w:line="360" w:lineRule="auto"/>
        <w:ind w:firstLine="420" w:firstLineChars="200"/>
        <w:rPr>
          <w:rFonts w:ascii="宋体" w:hAnsi="宋体"/>
          <w:b/>
          <w:szCs w:val="21"/>
        </w:rPr>
      </w:pPr>
      <w:r>
        <w:rPr>
          <w:rFonts w:hint="eastAsia" w:ascii="宋体" w:hAnsi="宋体"/>
          <w:szCs w:val="21"/>
        </w:rPr>
        <w:t>（一）对于从其他主体获取的投标资料，供应商应审慎核查，确保投标资料的真实性。</w:t>
      </w:r>
      <w:r>
        <w:rPr>
          <w:rFonts w:hint="eastAsia" w:ascii="宋体" w:hAnsi="宋体"/>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szCs w:val="21"/>
        </w:rPr>
      </w:pPr>
      <w:r>
        <w:rPr>
          <w:rFonts w:hint="eastAsia" w:ascii="宋体" w:hAnsi="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szCs w:val="21"/>
        </w:rPr>
      </w:pPr>
      <w:r>
        <w:rPr>
          <w:rFonts w:hint="eastAsia" w:ascii="宋体" w:hAnsi="宋体"/>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szCs w:val="21"/>
        </w:rPr>
      </w:pPr>
      <w:r>
        <w:rPr>
          <w:rFonts w:hint="eastAsia" w:ascii="宋体" w:hAnsi="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szCs w:val="21"/>
        </w:rPr>
      </w:pPr>
      <w:r>
        <w:rPr>
          <w:rFonts w:hint="eastAsia" w:ascii="宋体" w:hAnsi="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szCs w:val="21"/>
        </w:rPr>
      </w:pPr>
      <w:r>
        <w:rPr>
          <w:rFonts w:hint="eastAsia" w:ascii="宋体" w:hAnsi="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宋体" w:hAnsi="宋体"/>
          <w:szCs w:val="21"/>
        </w:rPr>
      </w:pPr>
      <w:r>
        <w:rPr>
          <w:rFonts w:hint="eastAsia" w:ascii="宋体" w:hAnsi="宋体"/>
          <w:b/>
          <w:szCs w:val="21"/>
        </w:rPr>
        <w:t>四、本公司已充分知悉政府采购违法、违规行为的法律后果。</w:t>
      </w:r>
      <w:r>
        <w:rPr>
          <w:rFonts w:hint="eastAsia" w:ascii="宋体" w:hAnsi="宋体"/>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宋体" w:hAnsi="宋体"/>
          <w:b/>
          <w:szCs w:val="21"/>
        </w:rPr>
      </w:pPr>
      <w:r>
        <w:rPr>
          <w:rFonts w:hint="eastAsia" w:ascii="宋体" w:hAnsi="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ind w:firstLine="420" w:firstLineChars="200"/>
        <w:rPr>
          <w:rFonts w:ascii="宋体" w:hAnsi="宋体"/>
          <w:szCs w:val="21"/>
          <w:u w:val="single"/>
        </w:rPr>
      </w:pPr>
    </w:p>
    <w:p>
      <w:pPr>
        <w:spacing w:line="360" w:lineRule="auto"/>
        <w:ind w:firstLine="420" w:firstLineChars="200"/>
        <w:rPr>
          <w:rFonts w:ascii="宋体" w:hAnsi="宋体"/>
          <w:szCs w:val="21"/>
        </w:rPr>
      </w:pPr>
      <w:r>
        <w:rPr>
          <w:rFonts w:hint="eastAsia" w:ascii="宋体" w:hAnsi="宋体"/>
          <w:szCs w:val="21"/>
        </w:rPr>
        <w:t>负责人</w:t>
      </w:r>
      <w:r>
        <w:rPr>
          <w:rFonts w:ascii="宋体" w:hAnsi="宋体"/>
          <w:szCs w:val="21"/>
        </w:rPr>
        <w:t>/</w:t>
      </w:r>
      <w:r>
        <w:rPr>
          <w:rFonts w:hint="eastAsia" w:ascii="宋体" w:hAnsi="宋体"/>
          <w:szCs w:val="21"/>
        </w:rPr>
        <w:t>投标授权代表签名：</w:t>
      </w:r>
    </w:p>
    <w:p>
      <w:pPr>
        <w:spacing w:line="360" w:lineRule="auto"/>
        <w:ind w:firstLine="420" w:firstLineChars="200"/>
        <w:rPr>
          <w:rFonts w:ascii="宋体" w:hAnsi="宋体"/>
          <w:szCs w:val="21"/>
        </w:rPr>
      </w:pPr>
      <w:r>
        <w:rPr>
          <w:rFonts w:hint="eastAsia" w:ascii="宋体" w:hAnsi="宋体"/>
          <w:szCs w:val="21"/>
        </w:rPr>
        <w:t>知悉人（公章）：</w:t>
      </w:r>
    </w:p>
    <w:p>
      <w:pPr>
        <w:spacing w:line="360" w:lineRule="auto"/>
        <w:ind w:firstLine="420" w:firstLineChars="200"/>
        <w:rPr>
          <w:rFonts w:ascii="宋体" w:hAnsi="宋体"/>
          <w:szCs w:val="21"/>
        </w:rPr>
      </w:pPr>
      <w:r>
        <w:rPr>
          <w:rFonts w:hint="eastAsia" w:ascii="宋体" w:hAnsi="宋体"/>
          <w:szCs w:val="21"/>
        </w:rPr>
        <w:t>日期：</w:t>
      </w:r>
    </w:p>
    <w:p>
      <w:pPr>
        <w:spacing w:line="360" w:lineRule="auto"/>
        <w:ind w:firstLine="420" w:firstLineChars="200"/>
        <w:rPr>
          <w:szCs w:val="21"/>
        </w:rPr>
      </w:pPr>
    </w:p>
    <w:p/>
    <w:p/>
    <w:p/>
    <w:p/>
    <w:p/>
    <w:p/>
    <w:p/>
    <w:p/>
    <w:p/>
    <w:p/>
    <w:p/>
    <w:p/>
    <w:p>
      <w:pPr>
        <w:pStyle w:val="4"/>
        <w:spacing w:line="400" w:lineRule="exact"/>
        <w:rPr>
          <w:rFonts w:ascii="仿宋" w:hAnsi="仿宋" w:eastAsia="仿宋"/>
        </w:rPr>
      </w:pPr>
      <w:bookmarkStart w:id="60" w:name="_Toc135293181"/>
      <w:r>
        <w:rPr>
          <w:rFonts w:hint="eastAsia" w:ascii="仿宋" w:hAnsi="仿宋" w:eastAsia="仿宋"/>
        </w:rPr>
        <w:t>评标指引表</w:t>
      </w:r>
      <w:bookmarkEnd w:id="59"/>
      <w:bookmarkEnd w:id="60"/>
    </w:p>
    <w:p>
      <w:pPr>
        <w:jc w:val="center"/>
        <w:rPr>
          <w:b/>
          <w:szCs w:val="21"/>
        </w:rPr>
      </w:pPr>
    </w:p>
    <w:p>
      <w:pPr>
        <w:spacing w:line="360" w:lineRule="auto"/>
        <w:ind w:firstLine="420" w:firstLineChars="200"/>
        <w:rPr>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exact"/>
        <w:rPr>
          <w:b/>
          <w:szCs w:val="21"/>
        </w:rPr>
      </w:pPr>
      <w:r>
        <w:rPr>
          <w:b/>
          <w:szCs w:val="21"/>
        </w:rPr>
        <w:t xml:space="preserve"> </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一、综合评分指引（评分内容见第四章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评标方法和标准”政府采购扶持政策</w:t>
            </w:r>
            <w:r>
              <w:rPr>
                <w:rFonts w:hint="eastAsia" w:asciiTheme="minorEastAsia" w:hAnsiTheme="minorEastAsia" w:eastAsiaTheme="minorEastAsia"/>
                <w:bCs/>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二、其他评标指引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其他资料</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color w:val="FF0000"/>
                <w:kern w:val="0"/>
                <w:szCs w:val="21"/>
              </w:rPr>
              <w:t>投标单位法定代表人、主要经营负责人、项目投标授权代表人、项目负责人及主要技术人员近一年社保缴纳查询记录（包含在投标单位及其他缴纳社保单位的记录）；社保缴纳不满一年的按实际缴纳情况提供。</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spacing w:line="360" w:lineRule="exact"/>
        <w:rPr>
          <w:b/>
          <w:szCs w:val="21"/>
        </w:rPr>
      </w:pPr>
    </w:p>
    <w:p>
      <w:pPr>
        <w:pStyle w:val="26"/>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jc w:val="center"/>
      </w:pPr>
    </w:p>
    <w:p/>
    <w:p/>
    <w:p/>
    <w:p/>
    <w:p/>
    <w:p/>
    <w:p/>
    <w:p/>
    <w:p>
      <w:pPr>
        <w:pStyle w:val="3"/>
        <w:tabs>
          <w:tab w:val="left" w:pos="371"/>
        </w:tabs>
        <w:spacing w:before="120" w:after="120"/>
        <w:ind w:left="-1" w:leftChars="-1" w:hanging="1"/>
        <w:jc w:val="center"/>
        <w:rPr>
          <w:rFonts w:asciiTheme="minorEastAsia" w:hAnsiTheme="minorEastAsia" w:eastAsiaTheme="minorEastAsia"/>
          <w:snapToGrid w:val="0"/>
          <w:kern w:val="0"/>
        </w:rPr>
      </w:pPr>
      <w:bookmarkStart w:id="61" w:name="_Toc135293182"/>
      <w:bookmarkStart w:id="62" w:name="_Toc44691396"/>
      <w:bookmarkStart w:id="63" w:name="_Toc44691164"/>
      <w:bookmarkStart w:id="64" w:name="_Toc44690705"/>
      <w:bookmarkStart w:id="65" w:name="_Toc44690432"/>
      <w:r>
        <w:rPr>
          <w:rFonts w:hint="eastAsia" w:asciiTheme="minorEastAsia" w:hAnsiTheme="minorEastAsia" w:eastAsiaTheme="minorEastAsia"/>
        </w:rPr>
        <w:t>格式1  投标人资格证明文件</w:t>
      </w:r>
      <w:bookmarkEnd w:id="61"/>
      <w:bookmarkEnd w:id="62"/>
      <w:bookmarkEnd w:id="63"/>
      <w:bookmarkEnd w:id="64"/>
      <w:bookmarkEnd w:id="65"/>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3、中小企业声明函或残疾人福利性单位声明函或监狱企业声明函</w:t>
      </w:r>
    </w:p>
    <w:p>
      <w:pPr>
        <w:adjustRightInd w:val="0"/>
        <w:snapToGrid w:val="0"/>
        <w:spacing w:line="360" w:lineRule="auto"/>
        <w:ind w:firstLine="424" w:firstLineChars="202"/>
        <w:rPr>
          <w:rFonts w:ascii="宋体" w:hAnsi="宋体"/>
        </w:rPr>
      </w:pPr>
      <w:r>
        <w:rPr>
          <w:rFonts w:hint="eastAsia" w:ascii="宋体" w:hAnsi="宋体"/>
        </w:rPr>
        <w:t>4、其它资格证明材料（如有，按第一章投标邀请“申请人的资格要求”提供）</w:t>
      </w:r>
    </w:p>
    <w:p>
      <w:pPr>
        <w:adjustRightInd w:val="0"/>
        <w:snapToGrid w:val="0"/>
        <w:spacing w:line="360" w:lineRule="auto"/>
        <w:ind w:firstLine="424" w:firstLineChars="202"/>
        <w:rPr>
          <w:rFonts w:ascii="宋体" w:hAnsi="宋体"/>
          <w:bCs/>
          <w:snapToGrid w:val="0"/>
          <w:kern w:val="0"/>
        </w:rPr>
      </w:pPr>
    </w:p>
    <w:p>
      <w:pPr>
        <w:adjustRightInd w:val="0"/>
        <w:snapToGrid w:val="0"/>
        <w:spacing w:line="360" w:lineRule="auto"/>
        <w:ind w:firstLine="426" w:firstLineChars="202"/>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tabs>
          <w:tab w:val="left" w:pos="555"/>
        </w:tabs>
        <w:adjustRightInd w:val="0"/>
        <w:snapToGrid w:val="0"/>
        <w:spacing w:line="300" w:lineRule="auto"/>
        <w:rPr>
          <w:b/>
          <w:snapToGrid w:val="0"/>
          <w:sz w:val="32"/>
          <w:szCs w:val="32"/>
        </w:rPr>
      </w:pPr>
      <w:r>
        <w:rPr>
          <w:b/>
          <w:snapToGrid w:val="0"/>
          <w:sz w:val="32"/>
          <w:szCs w:val="32"/>
        </w:rPr>
        <w:tab/>
      </w: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1.我单位满足《中华人民共和国政府采购法》第二十二条规定的下列条件：</w:t>
      </w:r>
    </w:p>
    <w:p>
      <w:pPr>
        <w:spacing w:line="400" w:lineRule="exact"/>
        <w:ind w:firstLine="420" w:firstLineChars="200"/>
        <w:rPr>
          <w:rFonts w:ascii="宋体" w:hAnsi="宋体"/>
          <w:szCs w:val="21"/>
        </w:rPr>
      </w:pPr>
      <w:r>
        <w:rPr>
          <w:rFonts w:hint="eastAsia" w:ascii="宋体" w:hAnsi="宋体"/>
          <w:szCs w:val="21"/>
        </w:rPr>
        <w:t>（一）具有独立承担民事责任的能力；</w:t>
      </w:r>
    </w:p>
    <w:p>
      <w:pPr>
        <w:spacing w:line="400" w:lineRule="exact"/>
        <w:ind w:firstLine="420" w:firstLineChars="200"/>
        <w:rPr>
          <w:rFonts w:ascii="宋体" w:hAnsi="宋体"/>
          <w:szCs w:val="21"/>
        </w:rPr>
      </w:pPr>
      <w:r>
        <w:rPr>
          <w:rFonts w:hint="eastAsia" w:ascii="宋体" w:hAnsi="宋体"/>
          <w:szCs w:val="21"/>
        </w:rPr>
        <w:t>（二）具有良好的商业信誉和健全的财务会计制度；</w:t>
      </w:r>
    </w:p>
    <w:p>
      <w:pPr>
        <w:spacing w:line="400" w:lineRule="exact"/>
        <w:ind w:firstLine="420" w:firstLineChars="200"/>
        <w:rPr>
          <w:rFonts w:ascii="宋体" w:hAnsi="宋体"/>
          <w:szCs w:val="21"/>
        </w:rPr>
      </w:pPr>
      <w:r>
        <w:rPr>
          <w:rFonts w:hint="eastAsia" w:ascii="宋体" w:hAnsi="宋体"/>
          <w:szCs w:val="21"/>
        </w:rPr>
        <w:t>（三）具有履行合同所必需的设备和专业技术能力；</w:t>
      </w:r>
    </w:p>
    <w:p>
      <w:pPr>
        <w:spacing w:line="400" w:lineRule="exact"/>
        <w:ind w:firstLine="420" w:firstLineChars="200"/>
        <w:rPr>
          <w:rFonts w:ascii="宋体" w:hAnsi="宋体"/>
          <w:szCs w:val="21"/>
        </w:rPr>
      </w:pPr>
      <w:r>
        <w:rPr>
          <w:rFonts w:hint="eastAsia" w:ascii="宋体" w:hAnsi="宋体"/>
          <w:szCs w:val="21"/>
        </w:rPr>
        <w:t>（四）有依法缴纳税收和社会保障资金的良好记录；</w:t>
      </w:r>
    </w:p>
    <w:p>
      <w:pPr>
        <w:spacing w:line="400" w:lineRule="exact"/>
        <w:ind w:firstLine="420" w:firstLineChars="200"/>
        <w:rPr>
          <w:rFonts w:ascii="宋体" w:hAnsi="宋体"/>
          <w:szCs w:val="21"/>
        </w:rPr>
      </w:pPr>
      <w:r>
        <w:rPr>
          <w:rFonts w:hint="eastAsia" w:ascii="宋体" w:hAnsi="宋体"/>
          <w:szCs w:val="21"/>
        </w:rPr>
        <w:t>（五）参加政府采购活动前三年内，在经营活动中没有重大违法记录；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（六）法律、行政法规规定的其他条件。</w:t>
      </w:r>
    </w:p>
    <w:p>
      <w:pPr>
        <w:spacing w:line="400" w:lineRule="exact"/>
        <w:ind w:firstLine="420" w:firstLineChars="200"/>
        <w:rPr>
          <w:rFonts w:ascii="宋体" w:hAnsi="宋体"/>
          <w:szCs w:val="21"/>
        </w:rPr>
      </w:pPr>
      <w:r>
        <w:rPr>
          <w:rFonts w:hint="eastAsia" w:ascii="宋体" w:hAnsi="宋体"/>
          <w:szCs w:val="21"/>
        </w:rPr>
        <w:t>2.我单位参与本项目采购活动前三年内，在经营活动中没有重大违法记录，包括</w:t>
      </w:r>
      <w:r>
        <w:rPr>
          <w:szCs w:val="21"/>
        </w:rPr>
        <w:t>因违法经营受到刑事处罚或者责令停产停业、吊销许可证或者执照、较大数额罚款等行政处罚</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4.我单位承诺非</w:t>
      </w:r>
      <w:r>
        <w:rPr>
          <w:rFonts w:hint="eastAsia" w:asciiTheme="minorEastAsia" w:hAnsiTheme="minorEastAsia" w:eastAsiaTheme="minorEastAsia"/>
          <w:snapToGrid w:val="0"/>
        </w:rPr>
        <w:t>联合体投标，</w:t>
      </w:r>
      <w:r>
        <w:rPr>
          <w:rFonts w:hint="eastAsia" w:ascii="宋体" w:hAnsi="宋体"/>
          <w:szCs w:val="21"/>
        </w:rPr>
        <w:t>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 我单位参与该项目投标，严格遵循公平竞争的原则，不妨碍其他投标人的竞争行为，不损害采购人或者其他投标人的合法权益，与其他采购参加人不存在下列串通投标情形：</w:t>
      </w:r>
    </w:p>
    <w:p>
      <w:pPr>
        <w:spacing w:line="400" w:lineRule="exact"/>
        <w:ind w:firstLine="420" w:firstLineChars="200"/>
        <w:rPr>
          <w:rFonts w:ascii="宋体" w:hAnsi="宋体"/>
          <w:szCs w:val="21"/>
        </w:rPr>
      </w:pPr>
      <w:r>
        <w:rPr>
          <w:rFonts w:hint="eastAsia" w:ascii="宋体" w:hAnsi="宋体"/>
          <w:szCs w:val="21"/>
        </w:rPr>
        <w:t>（1）投标供应商之间相互约定给予未中标的供应商利益补偿；</w:t>
      </w:r>
    </w:p>
    <w:p>
      <w:pPr>
        <w:spacing w:line="400" w:lineRule="exact"/>
        <w:ind w:firstLine="420" w:firstLineChars="200"/>
        <w:rPr>
          <w:rFonts w:ascii="宋体" w:hAnsi="宋体"/>
          <w:szCs w:val="21"/>
        </w:rPr>
      </w:pPr>
      <w:r>
        <w:rPr>
          <w:rFonts w:hint="eastAsia" w:ascii="宋体" w:hAnsi="宋体"/>
          <w:szCs w:val="21"/>
        </w:rPr>
        <w:t>（2）不同投标供应商的法定代表人、主要经营负责人、项目投标授权代表人、项目负责人、主要技术人员为同一人、属同一单位或者在同一单位缴纳社会保险；</w:t>
      </w:r>
    </w:p>
    <w:p>
      <w:pPr>
        <w:spacing w:line="400" w:lineRule="exact"/>
        <w:ind w:firstLine="420" w:firstLineChars="200"/>
        <w:rPr>
          <w:rFonts w:ascii="宋体" w:hAnsi="宋体"/>
          <w:szCs w:val="21"/>
        </w:rPr>
      </w:pPr>
      <w:r>
        <w:rPr>
          <w:rFonts w:hint="eastAsia" w:ascii="宋体" w:hAnsi="宋体"/>
          <w:szCs w:val="21"/>
        </w:rPr>
        <w:t>（3）不同投标供应商的投标文件由同一单位或者同一人编制，或者由同一人分阶段参与编制的；</w:t>
      </w:r>
    </w:p>
    <w:p>
      <w:pPr>
        <w:spacing w:line="400" w:lineRule="exact"/>
        <w:ind w:firstLine="420" w:firstLineChars="200"/>
        <w:rPr>
          <w:rFonts w:ascii="宋体" w:hAnsi="宋体"/>
          <w:szCs w:val="21"/>
        </w:rPr>
      </w:pPr>
      <w:r>
        <w:rPr>
          <w:rFonts w:hint="eastAsia" w:ascii="宋体" w:hAnsi="宋体"/>
          <w:szCs w:val="21"/>
        </w:rPr>
        <w:t>（4）不同投标供应商的投标文件或部分投标文件相互混装；</w:t>
      </w:r>
    </w:p>
    <w:p>
      <w:pPr>
        <w:spacing w:line="400" w:lineRule="exact"/>
        <w:ind w:firstLine="420" w:firstLineChars="200"/>
        <w:rPr>
          <w:rFonts w:ascii="宋体" w:hAnsi="宋体"/>
          <w:szCs w:val="21"/>
        </w:rPr>
      </w:pPr>
      <w:r>
        <w:rPr>
          <w:rFonts w:hint="eastAsia" w:ascii="宋体" w:hAnsi="宋体"/>
          <w:szCs w:val="21"/>
        </w:rPr>
        <w:t>（5）不同投标供应商的投标文件内容存在非正常一致；</w:t>
      </w:r>
    </w:p>
    <w:p>
      <w:pPr>
        <w:spacing w:line="400" w:lineRule="exact"/>
        <w:ind w:firstLine="420" w:firstLineChars="200"/>
        <w:rPr>
          <w:rFonts w:ascii="宋体" w:hAnsi="宋体"/>
          <w:szCs w:val="21"/>
        </w:rPr>
      </w:pPr>
      <w:r>
        <w:rPr>
          <w:rFonts w:hint="eastAsia" w:ascii="宋体" w:hAnsi="宋体"/>
          <w:szCs w:val="21"/>
        </w:rPr>
        <w:t>（6）由同一单位工作人员为两家以上（含两家）供应商进行同一项投标活动的；</w:t>
      </w:r>
    </w:p>
    <w:p>
      <w:pPr>
        <w:spacing w:line="400" w:lineRule="exact"/>
        <w:ind w:firstLine="420" w:firstLineChars="200"/>
        <w:rPr>
          <w:rFonts w:ascii="宋体" w:hAnsi="宋体"/>
          <w:szCs w:val="21"/>
        </w:rPr>
      </w:pPr>
      <w:r>
        <w:rPr>
          <w:rFonts w:hint="eastAsia" w:ascii="宋体" w:hAnsi="宋体"/>
          <w:szCs w:val="21"/>
        </w:rPr>
        <w:t>（7）主管部门依照法律、法规认定的其他情形。</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r>
        <w:rPr>
          <w:rFonts w:hint="eastAsia"/>
        </w:rPr>
        <w:br w:type="page"/>
      </w:r>
    </w:p>
    <w:p>
      <w:pPr>
        <w:widowControl/>
        <w:snapToGrid w:val="0"/>
        <w:spacing w:line="360" w:lineRule="auto"/>
        <w:jc w:val="left"/>
        <w:outlineLvl w:val="3"/>
        <w:rPr>
          <w:rFonts w:ascii="仿宋" w:hAnsi="仿宋" w:eastAsia="仿宋"/>
          <w:b/>
          <w:bCs/>
          <w:kern w:val="0"/>
          <w:sz w:val="25"/>
          <w:szCs w:val="25"/>
        </w:rPr>
      </w:pPr>
    </w:p>
    <w:p>
      <w:pPr>
        <w:widowControl/>
        <w:snapToGrid w:val="0"/>
        <w:spacing w:line="360" w:lineRule="auto"/>
        <w:jc w:val="left"/>
        <w:outlineLvl w:val="3"/>
        <w:rPr>
          <w:rFonts w:ascii="仿宋" w:hAnsi="仿宋" w:eastAsia="仿宋"/>
          <w:b/>
          <w:bCs/>
          <w:kern w:val="0"/>
          <w:sz w:val="25"/>
          <w:szCs w:val="25"/>
        </w:rPr>
      </w:pPr>
      <w:r>
        <w:rPr>
          <w:rFonts w:hint="eastAsia" w:ascii="仿宋" w:hAnsi="仿宋" w:eastAsia="仿宋"/>
          <w:b/>
          <w:bCs/>
          <w:kern w:val="0"/>
          <w:sz w:val="25"/>
          <w:szCs w:val="25"/>
        </w:rPr>
        <w:t>填写指引：</w:t>
      </w:r>
    </w:p>
    <w:p>
      <w:pPr>
        <w:widowControl/>
        <w:snapToGrid w:val="0"/>
        <w:spacing w:line="360" w:lineRule="auto"/>
        <w:jc w:val="left"/>
        <w:rPr>
          <w:rFonts w:asciiTheme="minorEastAsia" w:hAnsiTheme="minorEastAsia" w:eastAsiaTheme="minorEastAsia"/>
          <w:kern w:val="0"/>
          <w:szCs w:val="21"/>
        </w:rPr>
      </w:pPr>
      <w:r>
        <w:rPr>
          <w:rFonts w:hint="eastAsia" w:ascii="仿宋" w:hAnsi="仿宋" w:eastAsia="仿宋"/>
          <w:kern w:val="0"/>
          <w:sz w:val="25"/>
          <w:szCs w:val="25"/>
        </w:rPr>
        <w:t xml:space="preserve">  </w:t>
      </w:r>
      <w:r>
        <w:rPr>
          <w:rFonts w:hint="eastAsia" w:asciiTheme="minorEastAsia" w:hAnsiTheme="minorEastAsia" w:eastAsiaTheme="minorEastAsia"/>
          <w:kern w:val="0"/>
          <w:szCs w:val="21"/>
        </w:rPr>
        <w:t xml:space="preserve">  1、该部分内容由投标人根据自身实际情况填写，投标人提供的声明函不属实的，属于提供虚假资料谋取中标，依照《中华人民共和国政府采购法》等国家有关规定追究相应责任。</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2、该部分内容填写需要参考的相关文件包括但不限于（具体内容详见附件）：</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1</w:t>
      </w:r>
      <w:r>
        <w:rPr>
          <w:rFonts w:hint="eastAsia" w:asciiTheme="minorEastAsia" w:hAnsiTheme="minorEastAsia" w:eastAsiaTheme="minorEastAsia"/>
          <w:kern w:val="0"/>
          <w:szCs w:val="21"/>
        </w:rPr>
        <w:t>)</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工业和信息化部关于印发《政府采购促进中小企业发展管理办法》的通知（财库〔2020〕46号）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2</w:t>
      </w:r>
      <w:r>
        <w:rPr>
          <w:rFonts w:hint="eastAsia" w:asciiTheme="minorEastAsia" w:hAnsiTheme="minorEastAsia" w:eastAsiaTheme="minorEastAsia"/>
          <w:kern w:val="0"/>
          <w:szCs w:val="21"/>
        </w:rPr>
        <w:t>)</w:t>
      </w:r>
      <w:bookmarkStart w:id="66" w:name="_Hlk71925120"/>
      <w:r>
        <w:rPr>
          <w:rFonts w:hint="eastAsia" w:asciiTheme="minorEastAsia" w:hAnsiTheme="minorEastAsia" w:eastAsiaTheme="minorEastAsia"/>
          <w:kern w:val="0"/>
          <w:szCs w:val="21"/>
        </w:rPr>
        <w:t>《关于印发中小企业划型标准规定的通知》（工信部联企业〔2011〕300 号</w:t>
      </w:r>
      <w:bookmarkEnd w:id="66"/>
      <w:r>
        <w:rPr>
          <w:rFonts w:hint="eastAsia" w:asciiTheme="minorEastAsia" w:hAnsiTheme="minorEastAsia" w:eastAsiaTheme="minorEastAsia"/>
          <w:kern w:val="0"/>
          <w:szCs w:val="21"/>
        </w:rPr>
        <w:t>）</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(3)</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国家统计局关于印发《统计上大中小微型企业划分办法 （2017）》的通知（国统字〔2017〕213 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(4)</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民政部 中国残疾人联合会关于促进残疾人就业 政府采购政策的通知（财库〔2017〕141号）</w:t>
      </w:r>
    </w:p>
    <w:p>
      <w:pPr>
        <w:widowControl/>
        <w:snapToGrid w:val="0"/>
        <w:spacing w:line="360" w:lineRule="auto"/>
        <w:ind w:firstLine="555"/>
        <w:jc w:val="left"/>
        <w:rPr>
          <w:rFonts w:asciiTheme="minorEastAsia" w:hAnsiTheme="minorEastAsia" w:eastAsiaTheme="minorEastAsia"/>
          <w:szCs w:val="21"/>
        </w:rPr>
      </w:pPr>
      <w:r>
        <w:rPr>
          <w:rFonts w:hint="eastAsia" w:asciiTheme="minorEastAsia" w:hAnsiTheme="minorEastAsia" w:eastAsiaTheme="minorEastAsia"/>
          <w:kern w:val="0"/>
          <w:szCs w:val="21"/>
        </w:rPr>
        <w:t>(5)</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司法部关于政府采购支持监狱企业发展有关问题的通知（财库〔2014〕68号）</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3、请依照招标文件提供的格式和内容填写声明函，不要随意变更格式；满足多项优惠政策的投标人，不重复享受多项价格扣除政策。不符合要求的供应商可以不填写。</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4、《中小企业声明函》填写要求：</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（1）在“单位名称”下划线处如实填写</w:t>
      </w:r>
      <w:r>
        <w:rPr>
          <w:rFonts w:hint="eastAsia" w:asciiTheme="minorEastAsia" w:hAnsiTheme="minorEastAsia" w:eastAsiaTheme="minorEastAsia"/>
          <w:b/>
          <w:color w:val="FF0000"/>
          <w:kern w:val="0"/>
          <w:szCs w:val="21"/>
        </w:rPr>
        <w:t>采购人名称（详见采购人信息，非采购代理机构）</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（2）在“项目名称”下划线处如实填写</w:t>
      </w:r>
      <w:r>
        <w:rPr>
          <w:rFonts w:hint="eastAsia" w:asciiTheme="minorEastAsia" w:hAnsiTheme="minorEastAsia" w:eastAsiaTheme="minorEastAsia"/>
          <w:b/>
          <w:color w:val="FF0000"/>
          <w:kern w:val="0"/>
          <w:szCs w:val="21"/>
        </w:rPr>
        <w:t>采购项目名称</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（3）在“标的名称”下划线处填写所采购标的（货物或服务或工程）的具体名称</w:t>
      </w:r>
      <w:r>
        <w:rPr>
          <w:rFonts w:hint="eastAsia" w:asciiTheme="minorEastAsia" w:hAnsiTheme="minorEastAsia" w:eastAsiaTheme="minorEastAsia"/>
          <w:b/>
          <w:bCs/>
          <w:color w:val="FF0000"/>
          <w:kern w:val="0"/>
          <w:szCs w:val="21"/>
        </w:rPr>
        <w:t>（具体详见第二章项目需求，如涉及多项标的，投标人需逐项进行响应）</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（4）在“</w:t>
      </w:r>
      <w:r>
        <w:rPr>
          <w:rFonts w:asciiTheme="minorEastAsia" w:hAnsiTheme="minorEastAsia" w:eastAsiaTheme="minorEastAsia"/>
          <w:szCs w:val="21"/>
        </w:rPr>
        <w:t>采购文件</w:t>
      </w:r>
      <w:r>
        <w:rPr>
          <w:rFonts w:hint="eastAsia" w:asciiTheme="minorEastAsia" w:hAnsiTheme="minorEastAsia" w:eastAsiaTheme="minorEastAsia"/>
          <w:kern w:val="0"/>
          <w:szCs w:val="21"/>
        </w:rPr>
        <w:t>中明确的所属行业”下划线处填写采购文件规定的本项目所属行业</w:t>
      </w:r>
      <w:r>
        <w:rPr>
          <w:rFonts w:hint="eastAsia" w:asciiTheme="minorEastAsia" w:hAnsiTheme="minorEastAsia" w:eastAsiaTheme="minorEastAsia"/>
          <w:b/>
          <w:bCs/>
          <w:color w:val="FF0000"/>
          <w:kern w:val="0"/>
          <w:szCs w:val="21"/>
        </w:rPr>
        <w:t>（详见第四章 评标方法和标准）</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（5）在“从业人员”、“营业收入”、“资产总额”下划线处如实填写</w:t>
      </w:r>
      <w:r>
        <w:rPr>
          <w:rFonts w:hint="eastAsia" w:asciiTheme="minorEastAsia" w:hAnsiTheme="minorEastAsia" w:eastAsiaTheme="minorEastAsia"/>
          <w:b/>
          <w:color w:val="FF0000"/>
          <w:kern w:val="0"/>
          <w:szCs w:val="21"/>
        </w:rPr>
        <w:t>制造商（货物类）或承接企业（服务或工程类）</w:t>
      </w:r>
      <w:r>
        <w:rPr>
          <w:rFonts w:hint="eastAsia" w:asciiTheme="minorEastAsia" w:hAnsiTheme="minorEastAsia" w:eastAsiaTheme="minorEastAsia"/>
          <w:kern w:val="0"/>
          <w:szCs w:val="21"/>
        </w:rPr>
        <w:t>上一年度从业人员、营业收入、资产总额，无上一年度数据的新成立企业可以不填报；</w:t>
      </w:r>
    </w:p>
    <w:p>
      <w:pPr>
        <w:widowControl/>
        <w:snapToGrid w:val="0"/>
        <w:spacing w:line="360" w:lineRule="auto"/>
        <w:ind w:firstLine="424" w:firstLineChars="202"/>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（6）在“中型企业、小型企业、微型企业”下划线处如实依照工信部联企业〔2011〕300号文填写相应的企业类型。</w:t>
      </w:r>
    </w:p>
    <w:p>
      <w:pPr>
        <w:widowControl/>
        <w:snapToGrid w:val="0"/>
        <w:spacing w:line="360" w:lineRule="auto"/>
        <w:jc w:val="left"/>
        <w:rPr>
          <w:b/>
          <w:bCs/>
          <w:color w:val="FF0000"/>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pStyle w:val="5"/>
        <w:tabs>
          <w:tab w:val="left" w:pos="0"/>
        </w:tabs>
        <w:jc w:val="center"/>
        <w:rPr>
          <w:rFonts w:ascii="宋体" w:hAnsi="宋体" w:eastAsia="宋体"/>
        </w:rPr>
      </w:pPr>
      <w:r>
        <w:rPr>
          <w:rFonts w:hint="eastAsia" w:ascii="宋体" w:hAnsi="宋体" w:eastAsia="宋体"/>
        </w:rPr>
        <w:t>中小企业声明函</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服务全部由符合政策要求的中小企业承接</w:t>
      </w:r>
      <w:r>
        <w:rPr>
          <w:rFonts w:asciiTheme="minorEastAsia" w:hAnsiTheme="minorEastAsia" w:eastAsiaTheme="minorEastAsia"/>
          <w:szCs w:val="21"/>
        </w:rPr>
        <w:t>。相关企业（含联合体中的中小企业、签订分包意向协议的中小企业）的具体情况如下：</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rPr>
          <w:rFonts w:asciiTheme="minorEastAsia" w:hAnsiTheme="minorEastAsia" w:eastAsiaTheme="minorEastAsia"/>
          <w:szCs w:val="21"/>
        </w:rPr>
      </w:pPr>
    </w:p>
    <w:p>
      <w:pPr>
        <w:spacing w:line="360" w:lineRule="auto"/>
        <w:ind w:firstLine="420" w:firstLineChars="200"/>
        <w:jc w:val="right"/>
        <w:rPr>
          <w:rFonts w:ascii="宋体" w:hAnsi="宋体"/>
          <w:szCs w:val="21"/>
        </w:rPr>
      </w:pPr>
      <w:r>
        <w:rPr>
          <w:rFonts w:hint="eastAsia" w:ascii="宋体" w:hAnsi="宋体"/>
          <w:szCs w:val="21"/>
        </w:rPr>
        <w:t>企业名称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p>
    <w:p>
      <w:pPr>
        <w:pStyle w:val="5"/>
        <w:tabs>
          <w:tab w:val="left" w:pos="0"/>
        </w:tabs>
        <w:jc w:val="center"/>
        <w:rPr>
          <w:rFonts w:ascii="宋体" w:hAnsi="宋体" w:eastAsia="宋体"/>
        </w:rPr>
      </w:pPr>
      <w:r>
        <w:rPr>
          <w:rFonts w:hint="eastAsia" w:ascii="宋体" w:hAnsi="宋体" w:eastAsia="宋体"/>
        </w:rPr>
        <w:t>监狱企业声明函</w:t>
      </w:r>
    </w:p>
    <w:p>
      <w:pPr>
        <w:spacing w:after="60"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after="60"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单位名称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645"/>
        <w:rPr>
          <w:rFonts w:ascii="宋体"/>
          <w:b/>
          <w:szCs w:val="21"/>
        </w:rPr>
      </w:pPr>
      <w:r>
        <w:rPr>
          <w:rFonts w:hint="eastAsia" w:ascii="宋体" w:hAnsi="宋体"/>
          <w:szCs w:val="21"/>
        </w:rPr>
        <w:t xml:space="preserve">                                    </w:t>
      </w: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spacing w:line="360" w:lineRule="auto"/>
        <w:ind w:firstLine="420" w:firstLineChars="200"/>
        <w:rPr>
          <w:rFonts w:ascii="宋体" w:hAnsi="宋体"/>
          <w:szCs w:val="21"/>
        </w:rPr>
      </w:pPr>
    </w:p>
    <w:p>
      <w:pPr>
        <w:pStyle w:val="5"/>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项目采购活动，由本单位提供服务。</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rPr>
          <w:rFonts w:ascii="宋体" w:hAnsi="宋体"/>
          <w:szCs w:val="21"/>
        </w:rPr>
      </w:pPr>
    </w:p>
    <w:p>
      <w:pPr>
        <w:spacing w:line="360" w:lineRule="auto"/>
        <w:ind w:firstLine="420" w:firstLineChars="200"/>
        <w:jc w:val="right"/>
        <w:rPr>
          <w:rFonts w:ascii="宋体" w:hAnsi="宋体"/>
          <w:szCs w:val="21"/>
        </w:rPr>
      </w:pPr>
      <w:r>
        <w:rPr>
          <w:rFonts w:hint="eastAsia" w:ascii="宋体" w:hAnsi="宋体"/>
          <w:szCs w:val="21"/>
        </w:rPr>
        <w:t>单位名称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adjustRightInd w:val="0"/>
        <w:snapToGrid w:val="0"/>
        <w:spacing w:line="360" w:lineRule="auto"/>
        <w:ind w:firstLine="600"/>
        <w:jc w:val="right"/>
      </w:pPr>
      <w:r>
        <w:rPr>
          <w:rFonts w:hint="eastAsia" w:ascii="宋体" w:hAnsi="宋体"/>
          <w:szCs w:val="21"/>
        </w:rPr>
        <w:t xml:space="preserve">    备注：填写前请认真阅读《财政部 民政部 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pStyle w:val="3"/>
        <w:tabs>
          <w:tab w:val="left" w:pos="371"/>
        </w:tabs>
        <w:spacing w:before="120" w:after="120"/>
        <w:ind w:left="-1" w:leftChars="-1" w:hanging="1"/>
        <w:jc w:val="center"/>
        <w:rPr>
          <w:rFonts w:asciiTheme="minorEastAsia" w:hAnsiTheme="minorEastAsia" w:eastAsiaTheme="minorEastAsia"/>
          <w:snapToGrid w:val="0"/>
          <w:kern w:val="0"/>
        </w:rPr>
      </w:pPr>
      <w:bookmarkStart w:id="67" w:name="_Toc135293183"/>
      <w:r>
        <w:rPr>
          <w:rFonts w:hint="eastAsia" w:asciiTheme="minorEastAsia" w:hAnsiTheme="minorEastAsia" w:eastAsiaTheme="minorEastAsia"/>
        </w:rPr>
        <w:t>格式2  法定代表人（负责人）证明书及授权委托书</w:t>
      </w:r>
      <w:bookmarkEnd w:id="67"/>
    </w:p>
    <w:p>
      <w:pPr>
        <w:tabs>
          <w:tab w:val="left" w:pos="450"/>
        </w:tabs>
        <w:jc w:val="center"/>
        <w:rPr>
          <w:rFonts w:ascii="宋体" w:hAnsi="宋体"/>
          <w:b/>
          <w:sz w:val="30"/>
          <w:szCs w:val="30"/>
        </w:rPr>
      </w:pPr>
    </w:p>
    <w:p>
      <w:pPr>
        <w:tabs>
          <w:tab w:val="left" w:pos="450"/>
        </w:tabs>
        <w:jc w:val="center"/>
        <w:rPr>
          <w:rFonts w:ascii="宋体" w:hAnsi="宋体"/>
          <w:b/>
          <w:sz w:val="28"/>
          <w:szCs w:val="28"/>
        </w:rPr>
      </w:pPr>
      <w:r>
        <w:rPr>
          <w:rFonts w:hint="eastAsia" w:ascii="宋体" w:hAnsi="宋体"/>
          <w:b/>
          <w:sz w:val="28"/>
          <w:szCs w:val="28"/>
        </w:rPr>
        <w:t>法定代表人（负责人）证明书（参考）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职务，为法定代表人（负责人），特此证明。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w:pict>
          <v:rect id="Rectangle 5" o:spid="_x0000_s1048" o:spt="1" style="position:absolute;left:0pt;margin-left:250.65pt;margin-top:10.75pt;height:156pt;width:243pt;z-index:251663360;mso-width-relative:page;mso-height-relative:page;" coordsize="21600,21600">
            <v:path/>
            <v:fill focussize="0,0"/>
            <v:stroke/>
            <v:imagedata o:title=""/>
            <o:lock v:ext="edit"/>
            <v:textbox>
              <w:txbxContent>
                <w:p>
                  <w:pPr>
                    <w:ind w:firstLine="1260" w:firstLineChars="600"/>
                  </w:pPr>
                  <w:r>
                    <w:rPr>
                      <w:rFonts w:hint="eastAsia"/>
                    </w:rPr>
                    <w:t xml:space="preserve"> 法定代表人</w:t>
                  </w:r>
                  <w:r>
                    <w:rPr>
                      <w:rFonts w:hint="eastAsia" w:ascii="宋体" w:hAnsi="宋体"/>
                    </w:rPr>
                    <w:t>（负责人）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w:r>
      <w:r>
        <w:rPr>
          <w:rFonts w:ascii="宋体"/>
          <w:b/>
          <w:bCs/>
        </w:rPr>
        <w:pict>
          <v:rect id="Rectangle 4" o:spid="_x0000_s1047" o:spt="1" style="position:absolute;left:0pt;margin-left:-11.85pt;margin-top:10.75pt;height:156pt;width:243pt;z-index:251662336;mso-width-relative:page;mso-height-relative:page;" coordsize="21600,21600">
            <v:path/>
            <v:fill focussize="0,0"/>
            <v:stroke/>
            <v:imagedata o:title=""/>
            <o:lock v:ext="edit"/>
            <v:textbox>
              <w:txbxContent>
                <w:p>
                  <w:pPr>
                    <w:ind w:firstLine="1260" w:firstLineChars="600"/>
                    <w:jc w:val="left"/>
                  </w:pPr>
                  <w:r>
                    <w:rPr>
                      <w:rFonts w:hint="eastAsia"/>
                    </w:rPr>
                    <w:t>法定代表人</w:t>
                  </w:r>
                  <w:r>
                    <w:rPr>
                      <w:rFonts w:hint="eastAsia" w:ascii="宋体" w:hAnsi="宋体"/>
                    </w:rPr>
                    <w:t>（负责人）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rPr>
          <w:b/>
          <w:bCs/>
          <w:sz w:val="28"/>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ind w:firstLine="2249" w:firstLineChars="800"/>
        <w:rPr>
          <w:b/>
          <w:bCs/>
          <w:sz w:val="28"/>
        </w:rPr>
      </w:pPr>
    </w:p>
    <w:p>
      <w:pPr>
        <w:ind w:firstLine="2249" w:firstLineChars="800"/>
        <w:rPr>
          <w:b/>
          <w:bCs/>
          <w:sz w:val="28"/>
        </w:rPr>
      </w:pPr>
    </w:p>
    <w:p>
      <w:pPr>
        <w:ind w:firstLine="2249" w:firstLineChars="800"/>
        <w:rPr>
          <w:b/>
          <w:bCs/>
          <w:sz w:val="28"/>
        </w:rPr>
      </w:pPr>
    </w:p>
    <w:p>
      <w:pPr>
        <w:jc w:val="center"/>
        <w:rPr>
          <w:b/>
          <w:bCs/>
          <w:sz w:val="28"/>
        </w:rPr>
      </w:pPr>
      <w:r>
        <w:rPr>
          <w:rFonts w:hint="eastAsia"/>
          <w:b/>
          <w:bCs/>
          <w:sz w:val="28"/>
        </w:rPr>
        <w:t>法定代表人（负责人）授权委托书</w:t>
      </w:r>
      <w:r>
        <w:rPr>
          <w:rFonts w:hint="eastAsia" w:ascii="宋体" w:hAnsi="宋体"/>
          <w:b/>
          <w:sz w:val="30"/>
          <w:szCs w:val="30"/>
        </w:rPr>
        <w:t>（参考）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法定代表人（负责人）：（</w:t>
      </w:r>
      <w:r>
        <w:rPr>
          <w:snapToGrid w:val="0"/>
          <w:kern w:val="0"/>
        </w:rPr>
        <w:t>签字</w:t>
      </w:r>
      <w:r>
        <w:rPr>
          <w:rFonts w:hint="eastAsia"/>
        </w:rPr>
        <w:t>）</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68" w:name="_Toc226217114"/>
      <w:r>
        <w:rPr>
          <w:rFonts w:ascii="宋体"/>
        </w:rPr>
        <w:pict>
          <v:rect id="Rectangle 2" o:spid="_x0000_s1045" o:spt="1" style="position:absolute;left:0pt;margin-left:-10.35pt;margin-top:5.6pt;height:156pt;width:243pt;z-index:251660288;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w:r>
      <w:r>
        <w:rPr>
          <w:rFonts w:ascii="黑体" w:eastAsia="黑体"/>
        </w:rPr>
        <w:pict>
          <v:rect id="Rectangle 3" o:spid="_x0000_s1046" o:spt="1" style="position:absolute;left:0pt;margin-left:249.9pt;margin-top:5.6pt;height:156pt;width:243pt;z-index:251661312;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w:r>
      <w:bookmarkEnd w:id="68"/>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rPr>
          <w:rFonts w:asciiTheme="majorEastAsia" w:hAnsiTheme="majorEastAsia" w:eastAsiaTheme="majorEastAsia"/>
          <w:b/>
          <w:snapToGrid w:val="0"/>
          <w:kern w:val="0"/>
          <w:sz w:val="24"/>
        </w:rPr>
      </w:pPr>
      <w:r>
        <w:rPr>
          <w:rFonts w:hint="eastAsia" w:asciiTheme="majorEastAsia" w:hAnsiTheme="majorEastAsia" w:eastAsiaTheme="majorEastAsia"/>
          <w:b/>
          <w:sz w:val="24"/>
        </w:rPr>
        <w:t>注：法定代表人（负责人）证明书和法定代表人（负责人）授权委托书除装订于投标文件中外，还须另置一份按“投标人须知”18.4项要求单独密封。</w:t>
      </w:r>
    </w:p>
    <w:p/>
    <w:p>
      <w:pPr>
        <w:tabs>
          <w:tab w:val="left" w:pos="720"/>
        </w:tabs>
        <w:adjustRightInd w:val="0"/>
        <w:snapToGrid w:val="0"/>
        <w:spacing w:line="300" w:lineRule="auto"/>
      </w:pPr>
    </w:p>
    <w:p>
      <w:pPr>
        <w:tabs>
          <w:tab w:val="left" w:pos="720"/>
        </w:tabs>
        <w:adjustRightInd w:val="0"/>
        <w:snapToGrid w:val="0"/>
        <w:spacing w:line="300" w:lineRule="auto"/>
        <w:rPr>
          <w:b/>
          <w:snapToGrid w:val="0"/>
          <w:kern w:val="0"/>
          <w:sz w:val="28"/>
        </w:rPr>
      </w:pPr>
    </w:p>
    <w:p>
      <w:pPr>
        <w:pStyle w:val="3"/>
        <w:tabs>
          <w:tab w:val="left" w:pos="371"/>
        </w:tabs>
        <w:spacing w:before="120" w:after="120"/>
        <w:ind w:left="-1" w:leftChars="-1" w:hanging="1"/>
        <w:jc w:val="center"/>
        <w:rPr>
          <w:rFonts w:asciiTheme="minorEastAsia" w:hAnsiTheme="minorEastAsia" w:eastAsiaTheme="minorEastAsia"/>
        </w:rPr>
      </w:pPr>
      <w:bookmarkStart w:id="69" w:name="_Toc135293184"/>
      <w:r>
        <w:rPr>
          <w:rFonts w:hint="eastAsia" w:asciiTheme="minorEastAsia" w:hAnsiTheme="minorEastAsia" w:eastAsiaTheme="minorEastAsia"/>
        </w:rPr>
        <w:t>格式3  投</w:t>
      </w:r>
      <w:r>
        <w:rPr>
          <w:rFonts w:asciiTheme="minorEastAsia" w:hAnsiTheme="minorEastAsia" w:eastAsiaTheme="minorEastAsia"/>
        </w:rPr>
        <w:t xml:space="preserve"> </w:t>
      </w:r>
      <w:r>
        <w:rPr>
          <w:rFonts w:hint="eastAsia" w:asciiTheme="minorEastAsia" w:hAnsiTheme="minorEastAsia" w:eastAsiaTheme="minorEastAsia"/>
        </w:rPr>
        <w:t>标</w:t>
      </w:r>
      <w:r>
        <w:rPr>
          <w:rFonts w:asciiTheme="minorEastAsia" w:hAnsiTheme="minorEastAsia" w:eastAsiaTheme="minorEastAsia"/>
        </w:rPr>
        <w:t xml:space="preserve"> </w:t>
      </w:r>
      <w:r>
        <w:rPr>
          <w:rFonts w:hint="eastAsia" w:asciiTheme="minorEastAsia" w:hAnsiTheme="minorEastAsia" w:eastAsiaTheme="minorEastAsia"/>
        </w:rPr>
        <w:t>函</w:t>
      </w:r>
      <w:bookmarkEnd w:id="69"/>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w:t>
      </w:r>
      <w:r>
        <w:rPr>
          <w:rFonts w:hint="eastAsia" w:ascii="宋体" w:hAnsi="宋体" w:cs="Courier New"/>
          <w:snapToGrid w:val="0"/>
          <w:szCs w:val="18"/>
        </w:rPr>
        <w:t>中华人民共和国民法典</w:t>
      </w:r>
      <w:r>
        <w:rPr>
          <w:rFonts w:hint="eastAsia" w:cs="Courier New" w:asciiTheme="minorEastAsia" w:hAnsiTheme="minorEastAsia" w:eastAsiaTheme="minorEastAsia"/>
          <w:snapToGrid w:val="0"/>
          <w:szCs w:val="18"/>
        </w:rPr>
        <w:t>》履行自己的全部责任。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同意中标后向采购代理机构支付招标文件要求数额的中标服务费。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p>
    <w:p>
      <w:pPr>
        <w:tabs>
          <w:tab w:val="left" w:pos="371"/>
        </w:tabs>
        <w:spacing w:before="120" w:after="120"/>
        <w:ind w:left="-1" w:leftChars="-1" w:hanging="1"/>
        <w:jc w:val="center"/>
        <w:rPr>
          <w:rFonts w:asciiTheme="minorEastAsia" w:hAnsiTheme="minorEastAsia" w:eastAsiaTheme="minorEastAsia"/>
          <w:sz w:val="24"/>
        </w:rPr>
      </w:pPr>
    </w:p>
    <w:p>
      <w:pPr>
        <w:pStyle w:val="3"/>
        <w:tabs>
          <w:tab w:val="left" w:pos="371"/>
        </w:tabs>
        <w:spacing w:before="120" w:after="120"/>
        <w:ind w:left="-1" w:leftChars="-1" w:hanging="1"/>
        <w:jc w:val="center"/>
        <w:rPr>
          <w:rFonts w:asciiTheme="minorEastAsia" w:hAnsiTheme="minorEastAsia" w:eastAsiaTheme="minorEastAsia"/>
        </w:rPr>
      </w:pPr>
      <w:bookmarkStart w:id="70" w:name="_Toc135293185"/>
      <w:r>
        <w:rPr>
          <w:rFonts w:hint="eastAsia" w:asciiTheme="minorEastAsia" w:hAnsiTheme="minorEastAsia" w:eastAsiaTheme="minorEastAsia"/>
        </w:rPr>
        <w:t>格式4  评分中涉及的承诺及声明函</w:t>
      </w:r>
      <w:bookmarkEnd w:id="70"/>
    </w:p>
    <w:p>
      <w:pPr>
        <w:keepNext/>
        <w:keepLines/>
        <w:tabs>
          <w:tab w:val="left" w:pos="0"/>
        </w:tabs>
        <w:spacing w:before="280" w:after="290" w:line="376" w:lineRule="auto"/>
        <w:jc w:val="center"/>
        <w:outlineLvl w:val="3"/>
        <w:rPr>
          <w:rFonts w:ascii="宋体" w:hAnsi="宋体"/>
          <w:b/>
          <w:bCs/>
          <w:sz w:val="28"/>
          <w:szCs w:val="28"/>
        </w:rPr>
      </w:pPr>
      <w:bookmarkStart w:id="71" w:name="_Toc135293186"/>
      <w:bookmarkStart w:id="72" w:name="_Toc44690706"/>
      <w:bookmarkStart w:id="73" w:name="_Toc44691165"/>
      <w:bookmarkStart w:id="74" w:name="_Toc44691397"/>
      <w:bookmarkStart w:id="75" w:name="_Toc44690433"/>
      <w:r>
        <w:rPr>
          <w:rFonts w:hint="eastAsia" w:ascii="宋体" w:hAnsi="宋体"/>
          <w:b/>
          <w:bCs/>
          <w:sz w:val="28"/>
          <w:szCs w:val="28"/>
        </w:rPr>
        <w:t>列入政府优先采购清单的投标产品一览表</w:t>
      </w:r>
    </w:p>
    <w:tbl>
      <w:tblPr>
        <w:tblStyle w:val="50"/>
        <w:tblW w:w="10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1241"/>
        <w:gridCol w:w="2292"/>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540" w:type="dxa"/>
            <w:vMerge w:val="restart"/>
            <w:vAlign w:val="center"/>
          </w:tcPr>
          <w:p>
            <w:pPr>
              <w:jc w:val="cente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3"/>
            <w:vAlign w:val="center"/>
          </w:tcPr>
          <w:p>
            <w:pPr>
              <w:jc w:val="center"/>
              <w:rPr>
                <w:b/>
                <w:szCs w:val="21"/>
              </w:rPr>
            </w:pPr>
            <w:r>
              <w:rPr>
                <w:rFonts w:hint="eastAsia"/>
                <w:b/>
                <w:szCs w:val="21"/>
              </w:rPr>
              <w:t>投标产品报价</w:t>
            </w:r>
          </w:p>
        </w:tc>
        <w:tc>
          <w:tcPr>
            <w:tcW w:w="1503" w:type="dxa"/>
            <w:vMerge w:val="restart"/>
            <w:vAlign w:val="center"/>
          </w:tcPr>
          <w:p>
            <w:pPr>
              <w:jc w:val="center"/>
              <w:rPr>
                <w:b/>
                <w:szCs w:val="21"/>
              </w:rPr>
            </w:pPr>
            <w:r>
              <w:rPr>
                <w:rFonts w:hint="eastAsia"/>
                <w:b/>
                <w:szCs w:val="21"/>
              </w:rPr>
              <w:t>属于优先采购清单的类别</w:t>
            </w:r>
          </w:p>
        </w:tc>
        <w:tc>
          <w:tcPr>
            <w:tcW w:w="720" w:type="dxa"/>
            <w:vMerge w:val="restart"/>
            <w:vAlign w:val="center"/>
          </w:tcPr>
          <w:p>
            <w:pPr>
              <w:jc w:val="cente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1241" w:type="dxa"/>
            <w:vAlign w:val="center"/>
          </w:tcPr>
          <w:p>
            <w:pPr>
              <w:jc w:val="center"/>
              <w:rPr>
                <w:szCs w:val="21"/>
              </w:rPr>
            </w:pPr>
            <w:r>
              <w:rPr>
                <w:rFonts w:hint="eastAsia"/>
                <w:szCs w:val="21"/>
              </w:rPr>
              <w:t>投标单价（元）</w:t>
            </w:r>
          </w:p>
        </w:tc>
        <w:tc>
          <w:tcPr>
            <w:tcW w:w="2292" w:type="dxa"/>
            <w:vAlign w:val="center"/>
          </w:tcPr>
          <w:p>
            <w:pPr>
              <w:jc w:val="center"/>
              <w:rPr>
                <w:szCs w:val="21"/>
              </w:rPr>
            </w:pPr>
            <w:r>
              <w:rPr>
                <w:rFonts w:hint="eastAsia"/>
                <w:szCs w:val="21"/>
              </w:rPr>
              <w:t>投标</w:t>
            </w:r>
            <w:r>
              <w:rPr>
                <w:rFonts w:hint="eastAsia" w:ascii="宋体" w:hAnsi="宋体"/>
                <w:szCs w:val="21"/>
              </w:rPr>
              <w:t>合计</w:t>
            </w:r>
            <w:r>
              <w:rPr>
                <w:rFonts w:hint="eastAsia"/>
                <w:szCs w:val="21"/>
              </w:rPr>
              <w:t>报价（元）</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center"/>
              <w:rPr>
                <w:rFonts w:ascii="宋体" w:hAnsi="宋体"/>
                <w:szCs w:val="21"/>
              </w:rPr>
            </w:pPr>
            <w:r>
              <w:rPr>
                <w:rFonts w:hint="eastAsia" w:ascii="宋体" w:hAnsi="宋体"/>
                <w:szCs w:val="21"/>
              </w:rPr>
              <w:t>1</w:t>
            </w:r>
          </w:p>
        </w:tc>
        <w:tc>
          <w:tcPr>
            <w:tcW w:w="1213" w:type="dxa"/>
            <w:vAlign w:val="center"/>
          </w:tcPr>
          <w:p>
            <w:pPr>
              <w:jc w:val="center"/>
              <w:rPr>
                <w:szCs w:val="21"/>
              </w:rPr>
            </w:pPr>
          </w:p>
        </w:tc>
        <w:tc>
          <w:tcPr>
            <w:tcW w:w="1840" w:type="dxa"/>
            <w:vAlign w:val="center"/>
          </w:tcPr>
          <w:p>
            <w:pPr>
              <w:jc w:val="center"/>
              <w:rPr>
                <w:szCs w:val="21"/>
              </w:rPr>
            </w:pPr>
          </w:p>
        </w:tc>
        <w:tc>
          <w:tcPr>
            <w:tcW w:w="818" w:type="dxa"/>
            <w:vAlign w:val="center"/>
          </w:tcPr>
          <w:p>
            <w:pPr>
              <w:jc w:val="center"/>
              <w:rPr>
                <w:szCs w:val="21"/>
              </w:rPr>
            </w:pPr>
          </w:p>
        </w:tc>
        <w:tc>
          <w:tcPr>
            <w:tcW w:w="1241" w:type="dxa"/>
            <w:vAlign w:val="center"/>
          </w:tcPr>
          <w:p>
            <w:pPr>
              <w:jc w:val="center"/>
              <w:rPr>
                <w:szCs w:val="21"/>
              </w:rPr>
            </w:pPr>
          </w:p>
        </w:tc>
        <w:tc>
          <w:tcPr>
            <w:tcW w:w="2292" w:type="dxa"/>
            <w:vAlign w:val="center"/>
          </w:tcPr>
          <w:p>
            <w:pPr>
              <w:jc w:val="center"/>
              <w:rPr>
                <w:szCs w:val="21"/>
              </w:rPr>
            </w:pPr>
          </w:p>
        </w:tc>
        <w:tc>
          <w:tcPr>
            <w:tcW w:w="1503" w:type="dxa"/>
            <w:vAlign w:val="center"/>
          </w:tcPr>
          <w:p>
            <w:pPr>
              <w:jc w:val="center"/>
              <w:rPr>
                <w:szCs w:val="21"/>
              </w:rPr>
            </w:pPr>
          </w:p>
        </w:tc>
        <w:tc>
          <w:tcPr>
            <w:tcW w:w="7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center"/>
              <w:rPr>
                <w:rFonts w:ascii="宋体" w:hAnsi="宋体"/>
                <w:szCs w:val="21"/>
              </w:rPr>
            </w:pPr>
            <w:r>
              <w:rPr>
                <w:rFonts w:hint="eastAsia" w:ascii="宋体" w:hAnsi="宋体"/>
                <w:szCs w:val="21"/>
              </w:rPr>
              <w:t>2</w:t>
            </w:r>
          </w:p>
        </w:tc>
        <w:tc>
          <w:tcPr>
            <w:tcW w:w="1213" w:type="dxa"/>
            <w:vAlign w:val="center"/>
          </w:tcPr>
          <w:p>
            <w:pPr>
              <w:jc w:val="center"/>
              <w:rPr>
                <w:szCs w:val="21"/>
              </w:rPr>
            </w:pPr>
          </w:p>
        </w:tc>
        <w:tc>
          <w:tcPr>
            <w:tcW w:w="1840" w:type="dxa"/>
            <w:vAlign w:val="center"/>
          </w:tcPr>
          <w:p>
            <w:pPr>
              <w:jc w:val="center"/>
              <w:rPr>
                <w:szCs w:val="21"/>
              </w:rPr>
            </w:pPr>
          </w:p>
        </w:tc>
        <w:tc>
          <w:tcPr>
            <w:tcW w:w="818" w:type="dxa"/>
            <w:vAlign w:val="center"/>
          </w:tcPr>
          <w:p>
            <w:pPr>
              <w:jc w:val="center"/>
              <w:rPr>
                <w:szCs w:val="21"/>
              </w:rPr>
            </w:pPr>
          </w:p>
        </w:tc>
        <w:tc>
          <w:tcPr>
            <w:tcW w:w="1241" w:type="dxa"/>
            <w:vAlign w:val="center"/>
          </w:tcPr>
          <w:p>
            <w:pPr>
              <w:jc w:val="center"/>
              <w:rPr>
                <w:szCs w:val="21"/>
              </w:rPr>
            </w:pPr>
          </w:p>
        </w:tc>
        <w:tc>
          <w:tcPr>
            <w:tcW w:w="2292" w:type="dxa"/>
            <w:vAlign w:val="center"/>
          </w:tcPr>
          <w:p>
            <w:pPr>
              <w:jc w:val="center"/>
              <w:rPr>
                <w:szCs w:val="21"/>
              </w:rPr>
            </w:pPr>
          </w:p>
        </w:tc>
        <w:tc>
          <w:tcPr>
            <w:tcW w:w="1503" w:type="dxa"/>
            <w:vAlign w:val="center"/>
          </w:tcPr>
          <w:p>
            <w:pPr>
              <w:jc w:val="center"/>
              <w:rPr>
                <w:szCs w:val="21"/>
              </w:rPr>
            </w:pPr>
          </w:p>
        </w:tc>
        <w:tc>
          <w:tcPr>
            <w:tcW w:w="720" w:type="dxa"/>
            <w:vAlign w:val="center"/>
          </w:tcPr>
          <w:p>
            <w:pPr>
              <w:jc w:val="cente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ascii="宋体" w:hAnsi="宋体"/>
          <w:b/>
          <w:szCs w:val="21"/>
        </w:rPr>
        <w:t>对</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投标产品，投标人须提供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以及相应的节能或环境标志产品政府采购品目清单，并显著标识投标产品所处位置。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r>
        <w:rPr>
          <w:rFonts w:hint="eastAsia"/>
          <w:szCs w:val="21"/>
        </w:rPr>
        <w:t>投标产品若不属于上述清单或目录范围内，则无需填写该表。</w:t>
      </w:r>
    </w:p>
    <w:p>
      <w:pPr>
        <w:spacing w:line="360" w:lineRule="auto"/>
        <w:rPr>
          <w:rFonts w:ascii="宋体" w:hAnsi="宋体"/>
          <w:szCs w:val="21"/>
        </w:rPr>
      </w:pPr>
      <w:r>
        <w:rPr>
          <w:rFonts w:hint="eastAsia" w:ascii="宋体" w:hAnsi="宋体"/>
          <w:szCs w:val="21"/>
        </w:rPr>
        <w:t>2. “投标产品报价”栏中须准确填报该投标产品的投标单价、数量及投标合计报价；投标产品名称、规格型号、价格应与“分项报价表”一致，如不一致，以“分项报价表”为准。</w:t>
      </w:r>
    </w:p>
    <w:p>
      <w:pPr>
        <w:spacing w:line="360" w:lineRule="auto"/>
        <w:rPr>
          <w:rFonts w:ascii="宋体" w:hAnsi="宋体"/>
          <w:szCs w:val="21"/>
        </w:rPr>
      </w:pPr>
      <w:r>
        <w:rPr>
          <w:rFonts w:hint="eastAsia" w:ascii="宋体" w:hAnsi="宋体"/>
          <w:szCs w:val="21"/>
        </w:rPr>
        <w:t>3. “属于优先采购清单的类别”栏中填写“节能产品政府采购品目清单”或“环境标志产品政府采购品目清单”。</w:t>
      </w:r>
    </w:p>
    <w:p>
      <w:pPr>
        <w:widowControl/>
        <w:jc w:val="left"/>
      </w:pPr>
      <w:r>
        <w:br w:type="page"/>
      </w:r>
    </w:p>
    <w:p/>
    <w:p>
      <w:pPr>
        <w:pStyle w:val="3"/>
        <w:tabs>
          <w:tab w:val="left" w:pos="371"/>
        </w:tabs>
        <w:spacing w:before="120" w:after="120"/>
        <w:ind w:left="-1" w:leftChars="-1" w:hanging="1"/>
        <w:jc w:val="center"/>
        <w:rPr>
          <w:rFonts w:asciiTheme="minorEastAsia" w:hAnsiTheme="minorEastAsia" w:eastAsiaTheme="minorEastAsia"/>
        </w:rPr>
      </w:pPr>
      <w:r>
        <w:rPr>
          <w:rFonts w:hint="eastAsia" w:asciiTheme="minorEastAsia" w:hAnsiTheme="minorEastAsia" w:eastAsiaTheme="minorEastAsia"/>
        </w:rPr>
        <w:t>格式5  开标一览表</w:t>
      </w:r>
      <w:bookmarkEnd w:id="71"/>
      <w:bookmarkEnd w:id="72"/>
      <w:bookmarkEnd w:id="73"/>
      <w:bookmarkEnd w:id="74"/>
      <w:bookmarkEnd w:id="75"/>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5"/>
        <w:gridCol w:w="4330"/>
        <w:gridCol w:w="18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3315"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30"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1843"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3315" w:type="dxa"/>
            <w:tcBorders>
              <w:top w:val="single" w:color="auto" w:sz="4" w:space="0"/>
            </w:tcBorders>
            <w:vAlign w:val="center"/>
          </w:tcPr>
          <w:p>
            <w:pPr>
              <w:adjustRightInd w:val="0"/>
              <w:snapToGrid w:val="0"/>
              <w:spacing w:line="360" w:lineRule="auto"/>
              <w:jc w:val="center"/>
            </w:pPr>
            <w:r>
              <w:rPr>
                <w:rFonts w:hint="eastAsia" w:asciiTheme="minorEastAsia" w:hAnsiTheme="minorEastAsia" w:eastAsiaTheme="minorEastAsia"/>
              </w:rPr>
              <w:t>制样及质量管理辅助服务项目</w:t>
            </w:r>
          </w:p>
        </w:tc>
        <w:tc>
          <w:tcPr>
            <w:tcW w:w="4330" w:type="dxa"/>
            <w:tcBorders>
              <w:top w:val="single" w:color="auto" w:sz="4" w:space="0"/>
            </w:tcBorders>
            <w:vAlign w:val="center"/>
          </w:tcPr>
          <w:p>
            <w:pPr>
              <w:adjustRightInd w:val="0"/>
              <w:snapToGrid w:val="0"/>
              <w:spacing w:line="360" w:lineRule="auto"/>
              <w:jc w:val="center"/>
              <w:rPr>
                <w:snapToGrid w:val="0"/>
                <w:kern w:val="0"/>
                <w:u w:val="single"/>
              </w:rPr>
            </w:pPr>
          </w:p>
        </w:tc>
        <w:tc>
          <w:tcPr>
            <w:tcW w:w="1843"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法定代表人或其授权代表：（签字）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r>
        <w:rPr>
          <w:rFonts w:hint="eastAsia" w:ascii="宋体" w:hAnsi="宋体"/>
          <w:bCs/>
        </w:rPr>
        <w:t>，允许仅填报小写金额</w:t>
      </w:r>
      <w:r>
        <w:rPr>
          <w:rFonts w:ascii="宋体" w:hAnsi="宋体"/>
          <w:bCs/>
        </w:rPr>
        <w:t>。</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szCs w:val="21"/>
        </w:rPr>
        <w:t>投标</w:t>
      </w:r>
      <w:r>
        <w:rPr>
          <w:rFonts w:hint="eastAsia"/>
          <w:snapToGrid w:val="0"/>
          <w:kern w:val="0"/>
        </w:rPr>
        <w:t>总</w:t>
      </w:r>
      <w:r>
        <w:rPr>
          <w:rFonts w:hint="eastAsia" w:ascii="宋体" w:hAnsi="宋体"/>
          <w:szCs w:val="21"/>
        </w:rPr>
        <w:t>价为综合报价，包含完成本项目所需的全部费用</w:t>
      </w:r>
      <w:r>
        <w:rPr>
          <w:rFonts w:hint="eastAsia" w:ascii="宋体" w:hAnsi="宋体"/>
          <w:bCs/>
        </w:rPr>
        <w:t>。</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rPr>
          <w:b/>
          <w:sz w:val="28"/>
        </w:rPr>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
    <w:p/>
    <w:p/>
    <w:p/>
    <w:p/>
    <w:p/>
    <w:p/>
    <w:p/>
    <w:p>
      <w:r>
        <w:br w:type="page"/>
      </w:r>
    </w:p>
    <w:p/>
    <w:p>
      <w:pPr>
        <w:pStyle w:val="3"/>
        <w:tabs>
          <w:tab w:val="left" w:pos="371"/>
        </w:tabs>
        <w:spacing w:before="120" w:after="120"/>
        <w:ind w:left="-1" w:leftChars="-1" w:hanging="1"/>
        <w:jc w:val="center"/>
        <w:rPr>
          <w:rFonts w:asciiTheme="minorEastAsia" w:hAnsiTheme="minorEastAsia" w:eastAsiaTheme="minorEastAsia"/>
        </w:rPr>
      </w:pPr>
      <w:bookmarkStart w:id="76" w:name="_Toc44691398"/>
      <w:bookmarkStart w:id="77" w:name="_Toc44690434"/>
      <w:bookmarkStart w:id="78" w:name="_Toc44691166"/>
      <w:bookmarkStart w:id="79" w:name="_Toc135293187"/>
      <w:bookmarkStart w:id="80" w:name="_Toc44690707"/>
      <w:r>
        <w:rPr>
          <w:rFonts w:hint="eastAsia" w:asciiTheme="minorEastAsia" w:hAnsiTheme="minorEastAsia" w:eastAsiaTheme="minorEastAsia"/>
        </w:rPr>
        <w:t>格式6  报价表</w:t>
      </w:r>
      <w:bookmarkEnd w:id="76"/>
      <w:bookmarkEnd w:id="77"/>
      <w:bookmarkEnd w:id="78"/>
      <w:bookmarkEnd w:id="79"/>
      <w:bookmarkEnd w:id="80"/>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投标</w:t>
      </w:r>
      <w:r>
        <w:rPr>
          <w:rFonts w:hint="eastAsia"/>
          <w:snapToGrid w:val="0"/>
          <w:kern w:val="0"/>
        </w:rPr>
        <w:t>报</w:t>
      </w:r>
      <w:r>
        <w:rPr>
          <w:rFonts w:hint="eastAsia" w:asciiTheme="minorEastAsia" w:hAnsiTheme="minorEastAsia" w:eastAsiaTheme="minorEastAsia"/>
          <w:snapToGrid w:val="0"/>
          <w:kern w:val="0"/>
        </w:rPr>
        <w:t>价为综合报价，包含完成本项目所需的全部费用。</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3588"/>
        <w:gridCol w:w="2664"/>
        <w:gridCol w:w="23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77" w:type="dxa"/>
            <w:vAlign w:val="center"/>
          </w:tcPr>
          <w:p>
            <w:pPr>
              <w:adjustRightInd w:val="0"/>
              <w:snapToGrid w:val="0"/>
              <w:spacing w:line="300" w:lineRule="auto"/>
              <w:jc w:val="center"/>
              <w:rPr>
                <w:b/>
                <w:snapToGrid w:val="0"/>
                <w:kern w:val="0"/>
              </w:rPr>
            </w:pPr>
            <w:r>
              <w:rPr>
                <w:b/>
                <w:snapToGrid w:val="0"/>
                <w:kern w:val="0"/>
              </w:rPr>
              <w:t>序号</w:t>
            </w:r>
          </w:p>
        </w:tc>
        <w:tc>
          <w:tcPr>
            <w:tcW w:w="3588" w:type="dxa"/>
            <w:vAlign w:val="center"/>
          </w:tcPr>
          <w:p>
            <w:pPr>
              <w:adjustRightInd w:val="0"/>
              <w:snapToGrid w:val="0"/>
              <w:spacing w:line="300" w:lineRule="auto"/>
              <w:jc w:val="center"/>
              <w:rPr>
                <w:b/>
                <w:snapToGrid w:val="0"/>
                <w:kern w:val="0"/>
              </w:rPr>
            </w:pPr>
            <w:r>
              <w:rPr>
                <w:rFonts w:hint="eastAsia"/>
                <w:b/>
                <w:snapToGrid w:val="0"/>
                <w:kern w:val="0"/>
              </w:rPr>
              <w:t>项目内容</w:t>
            </w:r>
          </w:p>
        </w:tc>
        <w:tc>
          <w:tcPr>
            <w:tcW w:w="2664" w:type="dxa"/>
            <w:vAlign w:val="center"/>
          </w:tcPr>
          <w:p>
            <w:pPr>
              <w:adjustRightInd w:val="0"/>
              <w:snapToGrid w:val="0"/>
              <w:spacing w:line="300" w:lineRule="auto"/>
              <w:jc w:val="center"/>
              <w:rPr>
                <w:b/>
                <w:snapToGrid w:val="0"/>
                <w:kern w:val="0"/>
              </w:rPr>
            </w:pPr>
            <w:r>
              <w:rPr>
                <w:rFonts w:hint="eastAsia"/>
                <w:b/>
                <w:snapToGrid w:val="0"/>
                <w:kern w:val="0"/>
              </w:rPr>
              <w:t>费用</w:t>
            </w:r>
            <w:r>
              <w:rPr>
                <w:b/>
                <w:snapToGrid w:val="0"/>
                <w:kern w:val="0"/>
              </w:rPr>
              <w:t>（单位：</w:t>
            </w:r>
            <w:r>
              <w:rPr>
                <w:rFonts w:hint="eastAsia"/>
                <w:b/>
                <w:snapToGrid w:val="0"/>
                <w:kern w:val="0"/>
              </w:rPr>
              <w:t>人民币</w:t>
            </w:r>
            <w:r>
              <w:rPr>
                <w:b/>
                <w:snapToGrid w:val="0"/>
                <w:kern w:val="0"/>
              </w:rPr>
              <w:t>元）</w:t>
            </w:r>
          </w:p>
        </w:tc>
        <w:tc>
          <w:tcPr>
            <w:tcW w:w="2376" w:type="dxa"/>
            <w:vAlign w:val="center"/>
          </w:tcPr>
          <w:p>
            <w:pPr>
              <w:adjustRightInd w:val="0"/>
              <w:snapToGrid w:val="0"/>
              <w:spacing w:line="300" w:lineRule="auto"/>
              <w:jc w:val="center"/>
              <w:rPr>
                <w:b/>
                <w:snapToGrid w:val="0"/>
                <w:kern w:val="0"/>
              </w:rPr>
            </w:pPr>
            <w:r>
              <w:rPr>
                <w:rFonts w:hint="eastAsia"/>
                <w:b/>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pPr>
              <w:adjustRightInd w:val="0"/>
              <w:snapToGrid w:val="0"/>
              <w:spacing w:line="300" w:lineRule="auto"/>
              <w:rPr>
                <w:rFonts w:ascii="宋体" w:hAnsi="宋体"/>
                <w:snapToGrid w:val="0"/>
                <w:kern w:val="0"/>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2</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3</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4</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565" w:type="dxa"/>
            <w:gridSpan w:val="2"/>
            <w:vAlign w:val="center"/>
          </w:tcPr>
          <w:p>
            <w:pPr>
              <w:adjustRightInd w:val="0"/>
              <w:snapToGrid w:val="0"/>
              <w:spacing w:line="300" w:lineRule="auto"/>
              <w:jc w:val="center"/>
              <w:rPr>
                <w:snapToGrid w:val="0"/>
                <w:kern w:val="0"/>
              </w:rPr>
            </w:pPr>
            <w:r>
              <w:rPr>
                <w:snapToGrid w:val="0"/>
                <w:kern w:val="0"/>
              </w:rPr>
              <w:t>合   计</w:t>
            </w: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bl>
    <w:p>
      <w:pPr>
        <w:adjustRightInd w:val="0"/>
        <w:snapToGrid w:val="0"/>
        <w:spacing w:line="300" w:lineRule="auto"/>
        <w:rPr>
          <w:snapToGrid w:val="0"/>
          <w:kern w:val="0"/>
        </w:rPr>
      </w:pPr>
    </w:p>
    <w:p>
      <w:pPr>
        <w:spacing w:before="156" w:beforeLines="50" w:after="156" w:afterLines="50"/>
        <w:rPr>
          <w:rFonts w:ascii="宋体" w:hAnsi="宋体"/>
          <w:szCs w:val="21"/>
        </w:rPr>
      </w:pPr>
      <w:r>
        <w:rPr>
          <w:rFonts w:hint="eastAsia" w:ascii="宋体" w:hAnsi="宋体"/>
          <w:szCs w:val="21"/>
        </w:rPr>
        <w:t>备注：1、</w:t>
      </w:r>
      <w:r>
        <w:rPr>
          <w:rFonts w:hint="eastAsia" w:ascii="宋体" w:hAnsi="宋体"/>
          <w:bCs/>
          <w:szCs w:val="21"/>
        </w:rPr>
        <w:t>本表格仅为指导性范本，供应商可根据项目具体情况对各分项内容进行调整。</w:t>
      </w:r>
    </w:p>
    <w:p>
      <w:pPr>
        <w:adjustRightInd w:val="0"/>
        <w:spacing w:before="156" w:beforeLines="50" w:after="156" w:afterLines="50"/>
        <w:jc w:val="left"/>
        <w:rPr>
          <w:snapToGrid w:val="0"/>
          <w:kern w:val="0"/>
          <w:szCs w:val="21"/>
        </w:rPr>
      </w:pPr>
      <w:r>
        <w:rPr>
          <w:rFonts w:hint="eastAsia" w:ascii="宋体" w:hAnsi="宋体"/>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宋体" w:hAnsi="宋体"/>
          <w:szCs w:val="21"/>
        </w:rPr>
        <w:t>。</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wordWrap w:val="0"/>
        <w:adjustRightInd w:val="0"/>
        <w:snapToGrid w:val="0"/>
        <w:spacing w:line="300" w:lineRule="auto"/>
        <w:jc w:val="right"/>
      </w:pPr>
      <w:r>
        <w:rPr>
          <w:rFonts w:hint="eastAsia"/>
          <w:snapToGrid w:val="0"/>
          <w:kern w:val="0"/>
        </w:rPr>
        <w:t>年    月   日</w:t>
      </w:r>
    </w:p>
    <w:p>
      <w:pPr>
        <w:pStyle w:val="28"/>
        <w:adjustRightInd w:val="0"/>
        <w:snapToGrid w:val="0"/>
        <w:spacing w:line="312" w:lineRule="auto"/>
        <w:jc w:val="center"/>
        <w:rPr>
          <w:rFonts w:ascii="Times New Roman" w:hAnsi="Times New Roman"/>
          <w:b/>
          <w:sz w:val="28"/>
        </w:rPr>
      </w:pPr>
    </w:p>
    <w:p/>
    <w:p/>
    <w:p/>
    <w:p/>
    <w:p/>
    <w:p/>
    <w:p/>
    <w:p/>
    <w:p/>
    <w:p/>
    <w:p/>
    <w:p>
      <w:pPr>
        <w:pStyle w:val="3"/>
        <w:tabs>
          <w:tab w:val="left" w:pos="371"/>
        </w:tabs>
        <w:spacing w:before="120" w:after="120"/>
        <w:ind w:left="-1" w:leftChars="-1" w:hanging="1"/>
        <w:jc w:val="center"/>
        <w:rPr>
          <w:rFonts w:asciiTheme="minorEastAsia" w:hAnsiTheme="minorEastAsia" w:eastAsiaTheme="minorEastAsia"/>
        </w:rPr>
      </w:pPr>
      <w:bookmarkStart w:id="81" w:name="_Toc44691399"/>
      <w:bookmarkStart w:id="82" w:name="_Toc44690435"/>
      <w:bookmarkStart w:id="83" w:name="_Toc135293188"/>
      <w:bookmarkStart w:id="84" w:name="_Toc44691167"/>
      <w:bookmarkStart w:id="85" w:name="_Toc44690708"/>
      <w:r>
        <w:rPr>
          <w:rFonts w:hint="eastAsia" w:asciiTheme="minorEastAsia" w:hAnsiTheme="minorEastAsia" w:eastAsiaTheme="minorEastAsia"/>
        </w:rPr>
        <w:t>格式7  服务方案</w:t>
      </w:r>
      <w:bookmarkEnd w:id="81"/>
      <w:bookmarkEnd w:id="82"/>
      <w:bookmarkEnd w:id="83"/>
      <w:bookmarkEnd w:id="84"/>
      <w:bookmarkEnd w:id="85"/>
    </w:p>
    <w:p>
      <w:pPr>
        <w:pStyle w:val="7"/>
      </w:pPr>
    </w:p>
    <w:p>
      <w:pPr>
        <w:spacing w:line="400" w:lineRule="exact"/>
        <w:ind w:firstLine="422" w:firstLineChars="200"/>
        <w:rPr>
          <w:rFonts w:ascii="宋体" w:hAnsi="宋体"/>
          <w:b/>
          <w:szCs w:val="21"/>
        </w:rPr>
      </w:pPr>
      <w:r>
        <w:rPr>
          <w:rFonts w:hint="eastAsia" w:ascii="宋体" w:hAnsi="宋体"/>
          <w:b/>
          <w:szCs w:val="21"/>
        </w:rPr>
        <w:t>本部分内容是投标人根据项目需求对其投标服务方案的详细描述，主要包括服务方案及拟投入本项目的人员配置等，投标单位自主编写，但应包含下列内容：</w:t>
      </w:r>
    </w:p>
    <w:p>
      <w:pPr>
        <w:spacing w:line="400" w:lineRule="exact"/>
        <w:ind w:firstLine="420" w:firstLineChars="200"/>
        <w:rPr>
          <w:rFonts w:ascii="宋体" w:hAnsi="宋体"/>
          <w:szCs w:val="21"/>
        </w:rPr>
      </w:pPr>
    </w:p>
    <w:p>
      <w:pPr>
        <w:spacing w:line="360" w:lineRule="auto"/>
        <w:ind w:firstLine="420" w:firstLineChars="200"/>
        <w:rPr>
          <w:rFonts w:ascii="宋体" w:hAnsi="宋体" w:cs="宋体"/>
          <w:szCs w:val="21"/>
        </w:rPr>
      </w:pPr>
      <w:r>
        <w:rPr>
          <w:rFonts w:hint="eastAsia" w:ascii="宋体" w:hAnsi="宋体"/>
          <w:szCs w:val="21"/>
        </w:rPr>
        <w:t>1、</w:t>
      </w:r>
      <w:r>
        <w:rPr>
          <w:rFonts w:hint="eastAsia" w:ascii="宋体" w:hAnsi="宋体" w:cs="宋体"/>
          <w:szCs w:val="21"/>
        </w:rPr>
        <w:t>服务方案</w:t>
      </w:r>
    </w:p>
    <w:p>
      <w:pPr>
        <w:spacing w:line="360" w:lineRule="auto"/>
        <w:ind w:firstLine="420" w:firstLineChars="200"/>
        <w:rPr>
          <w:rFonts w:ascii="宋体" w:hAnsi="宋体" w:cs="宋体"/>
          <w:szCs w:val="21"/>
        </w:rPr>
      </w:pPr>
      <w:r>
        <w:rPr>
          <w:rFonts w:hint="eastAsia" w:ascii="宋体" w:hAnsi="宋体" w:cs="宋体"/>
          <w:szCs w:val="21"/>
        </w:rPr>
        <w:t>2、人员管理方案</w:t>
      </w:r>
    </w:p>
    <w:p>
      <w:pPr>
        <w:spacing w:line="360" w:lineRule="auto"/>
        <w:ind w:firstLine="420" w:firstLineChars="200"/>
        <w:rPr>
          <w:rFonts w:ascii="宋体" w:hAnsi="宋体" w:cs="宋体"/>
          <w:szCs w:val="21"/>
        </w:rPr>
      </w:pPr>
      <w:r>
        <w:rPr>
          <w:rFonts w:hint="eastAsia" w:ascii="宋体" w:hAnsi="宋体" w:cs="宋体"/>
          <w:szCs w:val="21"/>
        </w:rPr>
        <w:t>3、人员安全保障方案</w:t>
      </w:r>
    </w:p>
    <w:p>
      <w:pPr>
        <w:spacing w:line="360" w:lineRule="auto"/>
        <w:ind w:firstLine="420" w:firstLineChars="200"/>
        <w:rPr>
          <w:rFonts w:ascii="宋体" w:hAnsi="宋体" w:cs="宋体"/>
          <w:szCs w:val="21"/>
        </w:rPr>
      </w:pPr>
      <w:r>
        <w:rPr>
          <w:rFonts w:hint="eastAsia" w:ascii="宋体" w:hAnsi="宋体" w:cs="宋体"/>
          <w:szCs w:val="21"/>
        </w:rPr>
        <w:t>4、拟安排的项目负责人(仅限1人）情况</w:t>
      </w:r>
    </w:p>
    <w:p>
      <w:pPr>
        <w:spacing w:line="360" w:lineRule="auto"/>
        <w:ind w:firstLine="420" w:firstLineChars="200"/>
        <w:rPr>
          <w:rFonts w:ascii="宋体" w:hAnsi="宋体" w:cs="宋体"/>
          <w:szCs w:val="21"/>
        </w:rPr>
      </w:pPr>
      <w:r>
        <w:rPr>
          <w:rFonts w:hint="eastAsia" w:ascii="宋体" w:hAnsi="宋体" w:cs="宋体"/>
          <w:szCs w:val="21"/>
        </w:rPr>
        <w:t>5、拟安排的项目团队成员（项目负责人除外）情况</w:t>
      </w:r>
    </w:p>
    <w:p>
      <w:pPr>
        <w:spacing w:line="360" w:lineRule="auto"/>
        <w:ind w:firstLine="420" w:firstLineChars="200"/>
        <w:rPr>
          <w:rFonts w:ascii="宋体" w:hAnsi="宋体" w:cs="宋体"/>
          <w:szCs w:val="21"/>
        </w:rPr>
      </w:pPr>
      <w:r>
        <w:rPr>
          <w:rFonts w:hint="eastAsia" w:ascii="宋体" w:hAnsi="宋体" w:cs="宋体"/>
          <w:szCs w:val="21"/>
        </w:rPr>
        <w:t>6、投标人体系认证情况</w:t>
      </w:r>
    </w:p>
    <w:p>
      <w:pPr>
        <w:spacing w:line="360" w:lineRule="auto"/>
        <w:ind w:firstLine="420" w:firstLineChars="200"/>
        <w:rPr>
          <w:rFonts w:ascii="宋体" w:hAnsi="宋体" w:cs="宋体"/>
          <w:szCs w:val="21"/>
        </w:rPr>
      </w:pPr>
      <w:r>
        <w:rPr>
          <w:rFonts w:hint="eastAsia" w:ascii="宋体" w:hAnsi="宋体" w:cs="宋体"/>
          <w:szCs w:val="21"/>
        </w:rPr>
        <w:t>7、同类项目业绩情况</w:t>
      </w:r>
    </w:p>
    <w:p>
      <w:pPr>
        <w:spacing w:line="360" w:lineRule="auto"/>
        <w:ind w:firstLine="420" w:firstLineChars="200"/>
        <w:rPr>
          <w:rFonts w:ascii="宋体" w:hAnsi="宋体" w:cs="宋体"/>
          <w:szCs w:val="21"/>
        </w:rPr>
      </w:pPr>
      <w:r>
        <w:rPr>
          <w:rFonts w:hint="eastAsia" w:ascii="宋体" w:hAnsi="宋体" w:cs="宋体"/>
          <w:szCs w:val="21"/>
        </w:rPr>
        <w:t>8、供应商自主知识产权产品（创新、设计）情况</w:t>
      </w:r>
    </w:p>
    <w:p>
      <w:pPr>
        <w:spacing w:line="360" w:lineRule="auto"/>
        <w:ind w:firstLine="420" w:firstLineChars="200"/>
        <w:rPr>
          <w:rFonts w:ascii="宋体" w:hAnsi="宋体"/>
          <w:szCs w:val="21"/>
        </w:rPr>
      </w:pPr>
      <w:r>
        <w:rPr>
          <w:rFonts w:hint="eastAsia" w:ascii="宋体" w:hAnsi="宋体" w:cs="宋体"/>
          <w:szCs w:val="21"/>
        </w:rPr>
        <w:t>9、诚信评审</w:t>
      </w:r>
    </w:p>
    <w:p>
      <w:pPr>
        <w:spacing w:line="360" w:lineRule="auto"/>
        <w:ind w:left="420"/>
        <w:rPr>
          <w:rFonts w:ascii="宋体" w:hAnsi="宋体"/>
          <w:bCs/>
        </w:rPr>
      </w:pPr>
      <w:r>
        <w:rPr>
          <w:rFonts w:hint="eastAsia" w:ascii="宋体" w:hAnsi="宋体"/>
          <w:bCs/>
        </w:rPr>
        <w:t>10、投标人认为必要的其他方案</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8248"/>
          <w:tab w:val="left" w:pos="9368"/>
        </w:tabs>
        <w:spacing w:line="360" w:lineRule="auto"/>
      </w:pPr>
      <w:r>
        <w:rPr>
          <w:rFonts w:hint="eastAsia"/>
        </w:rPr>
        <w:t>附表：</w:t>
      </w:r>
    </w:p>
    <w:p>
      <w:pPr>
        <w:pStyle w:val="359"/>
        <w:jc w:val="center"/>
        <w:rPr>
          <w:rFonts w:ascii="仿宋" w:hAnsi="仿宋" w:eastAsia="仿宋"/>
          <w:b/>
          <w:snapToGrid w:val="0"/>
          <w:sz w:val="28"/>
          <w:szCs w:val="28"/>
        </w:rPr>
      </w:pPr>
      <w:r>
        <w:rPr>
          <w:rFonts w:hint="eastAsia" w:ascii="仿宋" w:hAnsi="仿宋" w:eastAsia="仿宋"/>
          <w:b/>
          <w:snapToGrid w:val="0"/>
          <w:sz w:val="28"/>
          <w:szCs w:val="28"/>
        </w:rPr>
        <w:t>项目人员情况一览表</w:t>
      </w:r>
    </w:p>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4" w:type="dxa"/>
          <w:bottom w:w="0" w:type="dxa"/>
          <w:right w:w="54" w:type="dxa"/>
        </w:tblCellMar>
      </w:tblPr>
      <w:tblGrid>
        <w:gridCol w:w="705"/>
        <w:gridCol w:w="1491"/>
        <w:gridCol w:w="851"/>
        <w:gridCol w:w="567"/>
        <w:gridCol w:w="1308"/>
        <w:gridCol w:w="1544"/>
        <w:gridCol w:w="1260"/>
        <w:gridCol w:w="16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02" w:hRule="atLeast"/>
          <w:jc w:val="center"/>
        </w:trPr>
        <w:tc>
          <w:tcPr>
            <w:tcW w:w="705" w:type="dxa"/>
            <w:vAlign w:val="center"/>
          </w:tcPr>
          <w:p>
            <w:pPr>
              <w:jc w:val="center"/>
              <w:rPr>
                <w:rFonts w:ascii="宋体" w:hAnsi="宋体" w:cs="Courier New"/>
                <w:snapToGrid w:val="0"/>
                <w:szCs w:val="21"/>
              </w:rPr>
            </w:pPr>
            <w:r>
              <w:rPr>
                <w:rFonts w:hint="eastAsia" w:ascii="宋体" w:hAnsi="宋体" w:cs="Courier New"/>
                <w:snapToGrid w:val="0"/>
                <w:szCs w:val="21"/>
              </w:rPr>
              <w:t>序号</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w:t>
            </w:r>
          </w:p>
        </w:tc>
        <w:tc>
          <w:tcPr>
            <w:tcW w:w="851" w:type="dxa"/>
            <w:vAlign w:val="center"/>
          </w:tcPr>
          <w:p>
            <w:pPr>
              <w:jc w:val="center"/>
              <w:rPr>
                <w:rFonts w:ascii="宋体" w:hAnsi="宋体" w:cs="Courier New"/>
                <w:snapToGrid w:val="0"/>
                <w:szCs w:val="21"/>
              </w:rPr>
            </w:pPr>
            <w:r>
              <w:rPr>
                <w:rFonts w:hint="eastAsia" w:ascii="宋体" w:hAnsi="宋体" w:cs="Courier New"/>
                <w:snapToGrid w:val="0"/>
                <w:szCs w:val="21"/>
              </w:rPr>
              <w:t>姓名</w:t>
            </w:r>
          </w:p>
        </w:tc>
        <w:tc>
          <w:tcPr>
            <w:tcW w:w="567" w:type="dxa"/>
            <w:vAlign w:val="center"/>
          </w:tcPr>
          <w:p>
            <w:pPr>
              <w:jc w:val="center"/>
              <w:rPr>
                <w:rFonts w:ascii="宋体" w:hAnsi="宋体" w:cs="Courier New"/>
                <w:snapToGrid w:val="0"/>
                <w:szCs w:val="21"/>
              </w:rPr>
            </w:pPr>
            <w:r>
              <w:rPr>
                <w:rFonts w:hint="eastAsia" w:ascii="宋体" w:hAnsi="宋体" w:cs="Courier New"/>
                <w:snapToGrid w:val="0"/>
                <w:szCs w:val="21"/>
              </w:rPr>
              <w:t>学历</w:t>
            </w:r>
          </w:p>
        </w:tc>
        <w:tc>
          <w:tcPr>
            <w:tcW w:w="1308" w:type="dxa"/>
            <w:vAlign w:val="center"/>
          </w:tcPr>
          <w:p>
            <w:pPr>
              <w:jc w:val="center"/>
              <w:rPr>
                <w:rFonts w:ascii="宋体" w:hAnsi="宋体" w:cs="Courier New"/>
                <w:snapToGrid w:val="0"/>
                <w:szCs w:val="21"/>
              </w:rPr>
            </w:pPr>
            <w:r>
              <w:rPr>
                <w:rFonts w:hint="eastAsia" w:ascii="宋体" w:hAnsi="宋体" w:cs="Courier New"/>
                <w:snapToGrid w:val="0"/>
                <w:szCs w:val="21"/>
              </w:rPr>
              <w:t>岗位及职务</w:t>
            </w:r>
          </w:p>
        </w:tc>
        <w:tc>
          <w:tcPr>
            <w:tcW w:w="1544" w:type="dxa"/>
            <w:vAlign w:val="center"/>
          </w:tcPr>
          <w:p>
            <w:pPr>
              <w:ind w:right="-53" w:rightChars="-25"/>
              <w:jc w:val="center"/>
              <w:rPr>
                <w:rFonts w:ascii="宋体" w:hAnsi="宋体" w:cs="Courier New"/>
                <w:snapToGrid w:val="0"/>
                <w:szCs w:val="21"/>
              </w:rPr>
            </w:pPr>
            <w:r>
              <w:rPr>
                <w:rFonts w:hint="eastAsia" w:ascii="宋体" w:hAnsi="宋体" w:cs="Courier New"/>
                <w:snapToGrid w:val="0"/>
                <w:szCs w:val="21"/>
              </w:rPr>
              <w:t>持何种资格证件</w:t>
            </w:r>
          </w:p>
        </w:tc>
        <w:tc>
          <w:tcPr>
            <w:tcW w:w="1260" w:type="dxa"/>
            <w:vAlign w:val="center"/>
          </w:tcPr>
          <w:p>
            <w:pPr>
              <w:jc w:val="center"/>
              <w:rPr>
                <w:rFonts w:ascii="宋体" w:hAnsi="宋体" w:cs="Courier New"/>
                <w:snapToGrid w:val="0"/>
                <w:szCs w:val="21"/>
              </w:rPr>
            </w:pPr>
            <w:r>
              <w:rPr>
                <w:rFonts w:hint="eastAsia" w:ascii="宋体" w:hAnsi="宋体" w:cs="Courier New"/>
                <w:snapToGrid w:val="0"/>
                <w:szCs w:val="21"/>
              </w:rPr>
              <w:t>发证时间</w:t>
            </w:r>
          </w:p>
        </w:tc>
        <w:tc>
          <w:tcPr>
            <w:tcW w:w="1620" w:type="dxa"/>
            <w:vAlign w:val="center"/>
          </w:tcPr>
          <w:p>
            <w:pPr>
              <w:jc w:val="center"/>
              <w:rPr>
                <w:rFonts w:ascii="宋体" w:hAnsi="宋体" w:cs="Courier New"/>
                <w:snapToGrid w:val="0"/>
                <w:szCs w:val="21"/>
              </w:rPr>
            </w:pPr>
            <w:r>
              <w:rPr>
                <w:rFonts w:hint="eastAsia" w:ascii="宋体" w:hAnsi="宋体" w:cs="Courier New"/>
                <w:snapToGrid w:val="0"/>
                <w:szCs w:val="21"/>
              </w:rPr>
              <w:t>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680" w:hRule="exact"/>
          <w:jc w:val="center"/>
        </w:trPr>
        <w:tc>
          <w:tcPr>
            <w:tcW w:w="705" w:type="dxa"/>
            <w:vAlign w:val="center"/>
          </w:tcPr>
          <w:p>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项目负责人</w:t>
            </w:r>
          </w:p>
        </w:tc>
        <w:tc>
          <w:tcPr>
            <w:tcW w:w="851" w:type="dxa"/>
            <w:vAlign w:val="center"/>
          </w:tcPr>
          <w:p>
            <w:pPr>
              <w:rPr>
                <w:rFonts w:ascii="宋体" w:hAnsi="宋体" w:cs="Courier New"/>
                <w:snapToGrid w:val="0"/>
                <w:szCs w:val="21"/>
              </w:rPr>
            </w:pPr>
          </w:p>
        </w:tc>
        <w:tc>
          <w:tcPr>
            <w:tcW w:w="567" w:type="dxa"/>
            <w:vAlign w:val="center"/>
          </w:tcPr>
          <w:p>
            <w:pPr>
              <w:rPr>
                <w:rFonts w:ascii="宋体" w:hAnsi="宋体" w:cs="Courier New"/>
                <w:snapToGrid w:val="0"/>
                <w:szCs w:val="21"/>
              </w:rPr>
            </w:pPr>
          </w:p>
        </w:tc>
        <w:tc>
          <w:tcPr>
            <w:tcW w:w="1308" w:type="dxa"/>
            <w:vAlign w:val="center"/>
          </w:tcPr>
          <w:p>
            <w:pPr>
              <w:rPr>
                <w:rFonts w:ascii="宋体" w:hAnsi="宋体" w:cs="Courier New"/>
                <w:snapToGrid w:val="0"/>
                <w:szCs w:val="21"/>
              </w:rPr>
            </w:pPr>
          </w:p>
        </w:tc>
        <w:tc>
          <w:tcPr>
            <w:tcW w:w="1544" w:type="dxa"/>
            <w:vAlign w:val="center"/>
          </w:tcPr>
          <w:p>
            <w:pPr>
              <w:rPr>
                <w:rFonts w:ascii="宋体" w:hAnsi="宋体" w:cs="Courier New"/>
                <w:snapToGrid w:val="0"/>
                <w:szCs w:val="21"/>
              </w:rPr>
            </w:pPr>
          </w:p>
        </w:tc>
        <w:tc>
          <w:tcPr>
            <w:tcW w:w="1260" w:type="dxa"/>
            <w:vAlign w:val="center"/>
          </w:tcPr>
          <w:p>
            <w:pPr>
              <w:rPr>
                <w:rFonts w:ascii="宋体" w:hAnsi="宋体" w:cs="Courier New"/>
                <w:snapToGrid w:val="0"/>
                <w:szCs w:val="21"/>
              </w:rPr>
            </w:pPr>
          </w:p>
        </w:tc>
        <w:tc>
          <w:tcPr>
            <w:tcW w:w="1620" w:type="dxa"/>
            <w:vAlign w:val="center"/>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2</w:t>
            </w:r>
          </w:p>
        </w:tc>
        <w:tc>
          <w:tcPr>
            <w:tcW w:w="1491" w:type="dxa"/>
            <w:vMerge w:val="restart"/>
            <w:vAlign w:val="center"/>
          </w:tcPr>
          <w:p>
            <w:pPr>
              <w:jc w:val="center"/>
              <w:rPr>
                <w:rFonts w:ascii="宋体" w:hAnsi="宋体" w:cs="Courier New"/>
                <w:snapToGrid w:val="0"/>
                <w:szCs w:val="21"/>
              </w:rPr>
            </w:pPr>
            <w:r>
              <w:rPr>
                <w:rFonts w:hint="eastAsia" w:ascii="宋体" w:hAnsi="宋体" w:cs="Courier New"/>
                <w:snapToGrid w:val="0"/>
                <w:szCs w:val="21"/>
              </w:rPr>
              <w:t>项目团队成员</w:t>
            </w: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3</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4</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5</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6</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7</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8</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9</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bl>
    <w:p>
      <w:pPr>
        <w:autoSpaceDE w:val="0"/>
        <w:autoSpaceDN w:val="0"/>
        <w:adjustRightInd w:val="0"/>
        <w:spacing w:line="360" w:lineRule="auto"/>
        <w:rPr>
          <w:rFonts w:ascii="宋体" w:hAnsi="宋体"/>
          <w:szCs w:val="21"/>
          <w:lang w:val="zh-CN"/>
        </w:rPr>
      </w:pPr>
      <w:r>
        <w:rPr>
          <w:rFonts w:hint="eastAsia" w:ascii="宋体" w:hAnsi="宋体"/>
          <w:szCs w:val="21"/>
          <w:lang w:val="zh-CN"/>
        </w:rPr>
        <w:t xml:space="preserve">注： </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1、填写时，如本表格不适合投标单位的实际情况，可根据本表格格式自行划表填写。</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2、有关人员简历及资格证书及其它证明材料（复印件或扫描件加盖公章）需附在本表之后。</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3、本表格所要求填写的人员是指投标单位将安排在此项目的具体人员。</w:t>
      </w:r>
    </w:p>
    <w:p>
      <w:pPr>
        <w:spacing w:line="360" w:lineRule="auto"/>
        <w:rPr>
          <w:rFonts w:cs="Courier New"/>
          <w:snapToGrid w:val="0"/>
          <w:szCs w:val="18"/>
        </w:rPr>
      </w:pPr>
    </w:p>
    <w:p>
      <w:pPr>
        <w:spacing w:line="360" w:lineRule="auto"/>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28"/>
        <w:adjustRightInd w:val="0"/>
        <w:snapToGrid w:val="0"/>
        <w:spacing w:line="312" w:lineRule="auto"/>
        <w:jc w:val="center"/>
        <w:rPr>
          <w:rFonts w:ascii="Times New Roman" w:hAnsi="Times New Roman"/>
          <w:b/>
          <w:sz w:val="28"/>
        </w:rPr>
      </w:pPr>
    </w:p>
    <w:p/>
    <w:p/>
    <w:p/>
    <w:p/>
    <w:p/>
    <w:p>
      <w:pPr>
        <w:pStyle w:val="3"/>
        <w:tabs>
          <w:tab w:val="left" w:pos="371"/>
        </w:tabs>
        <w:spacing w:before="120" w:after="120"/>
        <w:ind w:left="-1" w:leftChars="-1" w:hanging="1"/>
        <w:jc w:val="center"/>
        <w:rPr>
          <w:rFonts w:asciiTheme="minorEastAsia" w:hAnsiTheme="minorEastAsia" w:eastAsiaTheme="minorEastAsia"/>
        </w:rPr>
      </w:pPr>
      <w:bookmarkStart w:id="86" w:name="_Toc135293189"/>
      <w:r>
        <w:rPr>
          <w:rFonts w:asciiTheme="minorEastAsia" w:hAnsiTheme="minorEastAsia" w:eastAsiaTheme="minorEastAsia"/>
        </w:rPr>
        <w:t>格式</w:t>
      </w:r>
      <w:r>
        <w:rPr>
          <w:rFonts w:hint="eastAsia" w:asciiTheme="minorEastAsia" w:hAnsiTheme="minorEastAsia" w:eastAsiaTheme="minorEastAsia"/>
        </w:rPr>
        <w:t>8</w:t>
      </w:r>
      <w:r>
        <w:rPr>
          <w:rFonts w:asciiTheme="minorEastAsia" w:hAnsiTheme="minorEastAsia" w:eastAsiaTheme="minorEastAsia"/>
        </w:rPr>
        <w:t xml:space="preserve">  </w:t>
      </w:r>
      <w:r>
        <w:rPr>
          <w:rFonts w:hint="eastAsia" w:asciiTheme="minorEastAsia" w:hAnsiTheme="minorEastAsia" w:eastAsiaTheme="minorEastAsia"/>
        </w:rPr>
        <w:t>投标人情况介绍</w:t>
      </w:r>
      <w:bookmarkEnd w:id="86"/>
    </w:p>
    <w:p/>
    <w:p>
      <w:pPr>
        <w:adjustRightInd w:val="0"/>
        <w:snapToGrid w:val="0"/>
        <w:spacing w:line="360" w:lineRule="auto"/>
        <w:rPr>
          <w:rFonts w:ascii="宋体" w:hAnsi="宋体"/>
          <w:bCs/>
          <w:snapToGrid w:val="0"/>
          <w:kern w:val="0"/>
        </w:rPr>
      </w:pPr>
      <w:r>
        <w:rPr>
          <w:rFonts w:ascii="宋体" w:hAnsi="宋体"/>
          <w:bCs/>
          <w:snapToGrid w:val="0"/>
          <w:kern w:val="0"/>
        </w:rPr>
        <w:t>1、</w:t>
      </w:r>
      <w:r>
        <w:rPr>
          <w:rFonts w:hint="eastAsia" w:ascii="宋体" w:hAnsi="宋体"/>
          <w:bCs/>
          <w:snapToGrid w:val="0"/>
          <w:kern w:val="0"/>
        </w:rPr>
        <w:t>投标人基本情况简介，格式自拟，包括但不限于经营范围、依法纳税记录等；</w:t>
      </w:r>
    </w:p>
    <w:p>
      <w:pPr>
        <w:adjustRightInd w:val="0"/>
        <w:snapToGrid w:val="0"/>
        <w:spacing w:line="360" w:lineRule="auto"/>
        <w:rPr>
          <w:rFonts w:ascii="宋体" w:hAnsi="宋体"/>
          <w:bCs/>
          <w:snapToGrid w:val="0"/>
          <w:kern w:val="0"/>
          <w:szCs w:val="21"/>
        </w:rPr>
      </w:pP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2、</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rPr>
          <w:rFonts w:ascii="宋体" w:hAnsi="宋体"/>
          <w:sz w:val="28"/>
        </w:rPr>
      </w:pPr>
    </w:p>
    <w:p/>
    <w:p/>
    <w:p/>
    <w:p/>
    <w:p/>
    <w:p/>
    <w:p/>
    <w:p/>
    <w:p/>
    <w:p/>
    <w:p/>
    <w:p/>
    <w:p/>
    <w:p/>
    <w:p/>
    <w:p/>
    <w:p/>
    <w:p/>
    <w:p/>
    <w:p/>
    <w:p/>
    <w:p/>
    <w:p/>
    <w:p/>
    <w:p/>
    <w:p/>
    <w:p/>
    <w:p/>
    <w:p/>
    <w:p/>
    <w:p/>
    <w:p/>
    <w:p/>
    <w:p/>
    <w:p>
      <w:pPr>
        <w:pStyle w:val="3"/>
        <w:tabs>
          <w:tab w:val="left" w:pos="371"/>
        </w:tabs>
        <w:spacing w:before="120" w:after="120"/>
        <w:ind w:left="-1" w:leftChars="-1" w:hanging="1"/>
        <w:jc w:val="center"/>
        <w:rPr>
          <w:rFonts w:asciiTheme="minorEastAsia" w:hAnsiTheme="minorEastAsia" w:eastAsiaTheme="minorEastAsia"/>
        </w:rPr>
      </w:pPr>
      <w:bookmarkStart w:id="87" w:name="_Toc44691168"/>
      <w:bookmarkStart w:id="88" w:name="_Toc135293190"/>
      <w:bookmarkStart w:id="89" w:name="_Toc44690709"/>
      <w:bookmarkStart w:id="90" w:name="_Toc44690436"/>
      <w:bookmarkStart w:id="91" w:name="_Toc44691400"/>
      <w:r>
        <w:rPr>
          <w:rFonts w:hint="eastAsia" w:asciiTheme="minorEastAsia" w:hAnsiTheme="minorEastAsia" w:eastAsiaTheme="minorEastAsia"/>
        </w:rPr>
        <w:t>格式9  偏离表</w:t>
      </w:r>
      <w:bookmarkEnd w:id="87"/>
      <w:bookmarkEnd w:id="88"/>
      <w:bookmarkEnd w:id="89"/>
      <w:bookmarkEnd w:id="90"/>
      <w:bookmarkEnd w:id="91"/>
    </w:p>
    <w:p>
      <w:pPr>
        <w:adjustRightInd w:val="0"/>
        <w:snapToGrid w:val="0"/>
        <w:spacing w:line="360" w:lineRule="auto"/>
        <w:rPr>
          <w:rFonts w:ascii="宋体" w:hAnsi="宋体"/>
        </w:rPr>
      </w:pPr>
    </w:p>
    <w:p>
      <w:pPr>
        <w:snapToGrid w:val="0"/>
        <w:spacing w:line="360" w:lineRule="auto"/>
        <w:jc w:val="center"/>
        <w:rPr>
          <w:b/>
          <w:sz w:val="24"/>
        </w:rPr>
      </w:pPr>
      <w:r>
        <w:rPr>
          <w:rFonts w:hint="eastAsia"/>
          <w:b/>
          <w:sz w:val="24"/>
        </w:rPr>
        <w:t>招标项目需求偏离表</w:t>
      </w:r>
    </w:p>
    <w:tbl>
      <w:tblPr>
        <w:tblStyle w:val="50"/>
        <w:tblW w:w="10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010"/>
        <w:gridCol w:w="3544"/>
        <w:gridCol w:w="1984"/>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75" w:type="dxa"/>
            <w:vAlign w:val="center"/>
          </w:tcPr>
          <w:p>
            <w:pPr>
              <w:rPr>
                <w:rFonts w:ascii="宋体" w:hAnsi="宋体"/>
                <w:szCs w:val="21"/>
              </w:rPr>
            </w:pPr>
            <w:r>
              <w:rPr>
                <w:rFonts w:hint="eastAsia" w:ascii="宋体" w:hAnsi="宋体"/>
                <w:szCs w:val="21"/>
              </w:rPr>
              <w:t>序号</w:t>
            </w:r>
          </w:p>
        </w:tc>
        <w:tc>
          <w:tcPr>
            <w:tcW w:w="2010" w:type="dxa"/>
            <w:vAlign w:val="center"/>
          </w:tcPr>
          <w:p>
            <w:pPr>
              <w:ind w:left="136" w:leftChars="65"/>
              <w:jc w:val="center"/>
              <w:rPr>
                <w:rFonts w:ascii="宋体" w:hAnsi="宋体"/>
                <w:szCs w:val="21"/>
              </w:rPr>
            </w:pPr>
            <w:r>
              <w:rPr>
                <w:rFonts w:hint="eastAsia" w:ascii="宋体" w:hAnsi="宋体"/>
                <w:szCs w:val="21"/>
              </w:rPr>
              <w:t>招标项目需求</w:t>
            </w:r>
          </w:p>
        </w:tc>
        <w:tc>
          <w:tcPr>
            <w:tcW w:w="3544" w:type="dxa"/>
            <w:vAlign w:val="center"/>
          </w:tcPr>
          <w:p>
            <w:pPr>
              <w:ind w:left="136" w:leftChars="65"/>
              <w:jc w:val="center"/>
              <w:rPr>
                <w:rFonts w:ascii="宋体" w:hAnsi="宋体"/>
                <w:szCs w:val="21"/>
              </w:rPr>
            </w:pPr>
            <w:r>
              <w:rPr>
                <w:rFonts w:hint="eastAsia" w:ascii="宋体" w:hAnsi="宋体"/>
                <w:szCs w:val="21"/>
              </w:rPr>
              <w:t>投标文件响应</w:t>
            </w:r>
          </w:p>
        </w:tc>
        <w:tc>
          <w:tcPr>
            <w:tcW w:w="1984" w:type="dxa"/>
            <w:vAlign w:val="center"/>
          </w:tcPr>
          <w:p>
            <w:pPr>
              <w:ind w:left="136" w:leftChars="65"/>
              <w:jc w:val="center"/>
              <w:rPr>
                <w:rFonts w:ascii="宋体" w:hAnsi="宋体"/>
                <w:szCs w:val="21"/>
              </w:rPr>
            </w:pPr>
            <w:r>
              <w:rPr>
                <w:rFonts w:hint="eastAsia" w:ascii="宋体" w:hAnsi="宋体"/>
                <w:szCs w:val="21"/>
              </w:rPr>
              <w:t>偏离情况</w:t>
            </w:r>
          </w:p>
        </w:tc>
        <w:tc>
          <w:tcPr>
            <w:tcW w:w="1974" w:type="dxa"/>
            <w:vAlign w:val="center"/>
          </w:tcPr>
          <w:p>
            <w:pPr>
              <w:ind w:left="136" w:leftChars="65"/>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187" w:type="dxa"/>
            <w:gridSpan w:val="5"/>
          </w:tcPr>
          <w:p>
            <w:pPr>
              <w:ind w:left="137" w:leftChars="1" w:hanging="135" w:hangingChars="64"/>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带★</w:t>
            </w:r>
            <w:r>
              <w:rPr>
                <w:rFonts w:hint="eastAsia" w:ascii="宋体" w:hAnsi="宋体" w:cs="Arial"/>
                <w:b/>
                <w:color w:val="FF0000"/>
              </w:rPr>
              <w:t>号</w:t>
            </w:r>
            <w:r>
              <w:rPr>
                <w:rFonts w:hint="eastAsia" w:ascii="宋体" w:hAnsi="宋体" w:cs="Arial"/>
                <w:b/>
              </w:rPr>
              <w:t>条款（如有）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675" w:type="dxa"/>
            <w:vAlign w:val="center"/>
          </w:tcPr>
          <w:p>
            <w:pPr>
              <w:ind w:left="136" w:leftChars="65"/>
              <w:jc w:val="center"/>
              <w:rPr>
                <w:rFonts w:ascii="宋体" w:hAnsi="宋体"/>
                <w:szCs w:val="21"/>
              </w:rPr>
            </w:pPr>
            <w:r>
              <w:rPr>
                <w:rFonts w:hint="eastAsia" w:ascii="宋体" w:hAnsi="宋体"/>
                <w:szCs w:val="21"/>
              </w:rPr>
              <w:t>1</w:t>
            </w:r>
          </w:p>
        </w:tc>
        <w:tc>
          <w:tcPr>
            <w:tcW w:w="2010" w:type="dxa"/>
            <w:vAlign w:val="center"/>
          </w:tcPr>
          <w:p>
            <w:pPr>
              <w:rPr>
                <w:rFonts w:ascii="宋体" w:hAnsi="宋体"/>
                <w:b/>
                <w:color w:val="FF0000"/>
              </w:rPr>
            </w:pPr>
            <w:r>
              <w:rPr>
                <w:rFonts w:hint="eastAsia" w:ascii="宋体" w:hAnsi="宋体"/>
                <w:b/>
                <w:color w:val="FF0000"/>
              </w:rPr>
              <w:t>招标文件第二章《项目需求》中所有带</w:t>
            </w:r>
            <w:r>
              <w:rPr>
                <w:rFonts w:hint="eastAsia" w:ascii="宋体" w:hAnsi="宋体"/>
                <w:b/>
                <w:color w:val="FF0000"/>
                <w:kern w:val="0"/>
                <w:szCs w:val="21"/>
              </w:rPr>
              <w:t>★号条款</w:t>
            </w:r>
            <w:r>
              <w:rPr>
                <w:rFonts w:hint="eastAsia" w:ascii="宋体" w:hAnsi="宋体"/>
                <w:b/>
                <w:color w:val="FF0000"/>
              </w:rPr>
              <w:t>的要求</w:t>
            </w:r>
          </w:p>
        </w:tc>
        <w:tc>
          <w:tcPr>
            <w:tcW w:w="3544" w:type="dxa"/>
            <w:vAlign w:val="center"/>
          </w:tcPr>
          <w:p>
            <w:pPr>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此项投标人必须完全响应满足，请投标人于“投标文件响应”栏中填写</w:t>
            </w:r>
            <w:r>
              <w:rPr>
                <w:rFonts w:hint="eastAsia" w:ascii="宋体" w:hAnsi="宋体" w:cs="Arial"/>
                <w:b/>
                <w:color w:val="0000FF"/>
                <w:sz w:val="20"/>
                <w:szCs w:val="18"/>
              </w:rPr>
              <w:t>“完全响应满足招标文件第二章《项目需求》中所有带★号条款的要求”</w:t>
            </w:r>
            <w:r>
              <w:rPr>
                <w:rFonts w:hint="eastAsia" w:ascii="宋体" w:hAnsi="宋体" w:cs="Arial"/>
                <w:color w:val="0000FF"/>
                <w:sz w:val="20"/>
                <w:szCs w:val="18"/>
              </w:rPr>
              <w:t>。无需另行编制填写内容。】</w:t>
            </w:r>
          </w:p>
        </w:tc>
        <w:tc>
          <w:tcPr>
            <w:tcW w:w="1984" w:type="dxa"/>
            <w:vAlign w:val="center"/>
          </w:tcPr>
          <w:p>
            <w:pPr>
              <w:ind w:left="136" w:leftChars="65"/>
              <w:jc w:val="center"/>
              <w:rPr>
                <w:rFonts w:ascii="宋体" w:hAnsi="宋体"/>
                <w:szCs w:val="21"/>
              </w:rPr>
            </w:pPr>
          </w:p>
        </w:tc>
        <w:tc>
          <w:tcPr>
            <w:tcW w:w="1974" w:type="dxa"/>
            <w:vAlign w:val="center"/>
          </w:tcPr>
          <w:p>
            <w:pPr>
              <w:ind w:left="2"/>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187" w:type="dxa"/>
            <w:gridSpan w:val="5"/>
            <w:vAlign w:val="center"/>
          </w:tcPr>
          <w:p>
            <w:pPr>
              <w:ind w:left="136" w:leftChars="65"/>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未带★</w:t>
            </w:r>
            <w:r>
              <w:rPr>
                <w:rFonts w:hint="eastAsia" w:ascii="宋体" w:hAnsi="宋体" w:cs="Arial"/>
                <w:b/>
                <w:color w:val="FF0000"/>
              </w:rPr>
              <w:t>号</w:t>
            </w:r>
            <w:r>
              <w:rPr>
                <w:rFonts w:hint="eastAsia" w:ascii="宋体" w:hAnsi="宋体" w:cs="Arial"/>
                <w:b/>
              </w:rPr>
              <w:t>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675" w:type="dxa"/>
            <w:vAlign w:val="center"/>
          </w:tcPr>
          <w:p>
            <w:pPr>
              <w:jc w:val="center"/>
              <w:rPr>
                <w:rFonts w:ascii="宋体" w:hAnsi="宋体"/>
                <w:szCs w:val="21"/>
              </w:rPr>
            </w:pPr>
            <w:r>
              <w:rPr>
                <w:rFonts w:hint="eastAsia" w:ascii="宋体" w:hAnsi="宋体"/>
              </w:rPr>
              <w:t>1</w:t>
            </w:r>
          </w:p>
        </w:tc>
        <w:tc>
          <w:tcPr>
            <w:tcW w:w="2010" w:type="dxa"/>
            <w:vAlign w:val="center"/>
          </w:tcPr>
          <w:p>
            <w:pPr>
              <w:rPr>
                <w:rFonts w:ascii="宋体" w:hAnsi="宋体"/>
                <w:color w:val="FF0000"/>
                <w:szCs w:val="21"/>
              </w:rPr>
            </w:pPr>
            <w:r>
              <w:rPr>
                <w:rFonts w:hint="eastAsia" w:ascii="宋体" w:hAnsi="宋体"/>
                <w:b/>
                <w:color w:val="FF0000"/>
                <w:szCs w:val="21"/>
              </w:rPr>
              <w:t>招标文件第二章《项目需求》中未带★号的所有条款要求</w:t>
            </w:r>
          </w:p>
        </w:tc>
        <w:tc>
          <w:tcPr>
            <w:tcW w:w="3544" w:type="dxa"/>
            <w:vAlign w:val="center"/>
          </w:tcPr>
          <w:p>
            <w:pPr>
              <w:jc w:val="left"/>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1、如投标人能完全按照此部分条款要求承诺（响应）并实施，可填写“</w:t>
            </w:r>
            <w:r>
              <w:rPr>
                <w:rFonts w:hint="eastAsia" w:ascii="宋体" w:hAnsi="宋体" w:cs="Arial"/>
                <w:b/>
                <w:color w:val="0000FF"/>
                <w:sz w:val="20"/>
                <w:szCs w:val="18"/>
              </w:rPr>
              <w:t>完全按招标文件要求响应</w:t>
            </w:r>
            <w:r>
              <w:rPr>
                <w:rFonts w:hint="eastAsia" w:ascii="宋体" w:hAnsi="宋体" w:cs="Arial"/>
                <w:color w:val="0000FF"/>
                <w:sz w:val="20"/>
                <w:szCs w:val="18"/>
              </w:rPr>
              <w:t>”；</w:t>
            </w:r>
          </w:p>
          <w:p>
            <w:pPr>
              <w:jc w:val="left"/>
              <w:rPr>
                <w:rFonts w:ascii="宋体" w:hAnsi="宋体" w:cs="Arial"/>
                <w:color w:val="0000FF"/>
                <w:sz w:val="20"/>
                <w:szCs w:val="18"/>
              </w:rPr>
            </w:pPr>
            <w:r>
              <w:rPr>
                <w:rFonts w:hint="eastAsia" w:ascii="宋体" w:hAnsi="宋体" w:cs="Arial"/>
                <w:color w:val="0000FF"/>
                <w:sz w:val="20"/>
                <w:szCs w:val="18"/>
              </w:rPr>
              <w:t>2、如投标人承诺（响应）内容出现正偏离或负偏离，请逐条做出说明。】</w:t>
            </w:r>
          </w:p>
        </w:tc>
        <w:tc>
          <w:tcPr>
            <w:tcW w:w="1984" w:type="dxa"/>
            <w:vAlign w:val="center"/>
          </w:tcPr>
          <w:p>
            <w:pPr>
              <w:ind w:left="136" w:leftChars="65"/>
              <w:jc w:val="center"/>
              <w:rPr>
                <w:rFonts w:ascii="宋体" w:hAnsi="宋体"/>
                <w:szCs w:val="21"/>
              </w:rPr>
            </w:pPr>
          </w:p>
        </w:tc>
        <w:tc>
          <w:tcPr>
            <w:tcW w:w="1974" w:type="dxa"/>
            <w:vAlign w:val="center"/>
          </w:tcPr>
          <w:p>
            <w:pPr>
              <w:ind w:left="57" w:leftChars="27"/>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bl>
    <w:p>
      <w:pPr>
        <w:spacing w:line="360" w:lineRule="auto"/>
        <w:ind w:firstLine="422" w:firstLineChars="201"/>
      </w:pPr>
      <w:r>
        <w:rPr>
          <w:rFonts w:hint="eastAsia"/>
        </w:rPr>
        <w:t>备注：</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rPr>
        <w:t>（1）投标人无需逐项填写“</w:t>
      </w:r>
      <w:r>
        <w:rPr>
          <w:rFonts w:hint="eastAsia" w:asciiTheme="minorEastAsia" w:hAnsiTheme="minorEastAsia" w:eastAsiaTheme="minorEastAsia"/>
          <w:szCs w:val="21"/>
        </w:rPr>
        <w:t>招标项目需求”栏，按格式提供即可。</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（2）投标人必须完全响应满足所有带★号条款的要求，否则将导致投标无效。中标后被发现不能满足《项目需求》中所有带★号条款要求的，采购单位有权拒绝签订合同，一切后果由投标人自行承担。</w:t>
      </w:r>
    </w:p>
    <w:p>
      <w:pPr>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szCs w:val="21"/>
        </w:rPr>
        <w:t>（3）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pPr>
        <w:spacing w:line="360" w:lineRule="auto"/>
        <w:ind w:firstLine="422" w:firstLineChars="201"/>
        <w:rPr>
          <w:rFonts w:cs="Arial" w:asciiTheme="minorEastAsia" w:hAnsiTheme="minorEastAsia" w:eastAsiaTheme="minorEastAsia"/>
          <w:b/>
          <w:bCs/>
          <w:szCs w:val="21"/>
        </w:rPr>
      </w:pPr>
      <w:r>
        <w:rPr>
          <w:rFonts w:hint="eastAsia" w:asciiTheme="minorEastAsia" w:hAnsiTheme="minorEastAsia" w:eastAsiaTheme="minorEastAsia"/>
        </w:rPr>
        <w:t>（4）请投标人于“</w:t>
      </w:r>
      <w:r>
        <w:rPr>
          <w:rFonts w:hint="eastAsia" w:asciiTheme="minorEastAsia" w:hAnsiTheme="minorEastAsia" w:eastAsiaTheme="minorEastAsia"/>
          <w:szCs w:val="21"/>
        </w:rPr>
        <w:t>投标文件响应</w:t>
      </w:r>
      <w:r>
        <w:rPr>
          <w:rFonts w:hint="eastAsia" w:asciiTheme="minorEastAsia" w:hAnsiTheme="minorEastAsia" w:eastAsiaTheme="minorEastAsia"/>
        </w:rPr>
        <w:t>”栏中对偏离表中相关条款作出响应情况描述，“偏离情况”栏根据响应情况填写，没有达到要求的填“负偏离”，达到要求的填“无偏离”，优于要求的填“正偏离”</w:t>
      </w:r>
      <w:r>
        <w:rPr>
          <w:rFonts w:hint="eastAsia" w:cs="Arial" w:asciiTheme="minorEastAsia" w:hAnsiTheme="minorEastAsia" w:eastAsiaTheme="minorEastAsia"/>
          <w:bCs/>
          <w:szCs w:val="21"/>
        </w:rPr>
        <w:t>。</w:t>
      </w:r>
    </w:p>
    <w:p>
      <w:pPr>
        <w:adjustRightInd w:val="0"/>
        <w:snapToGrid w:val="0"/>
        <w:spacing w:line="300" w:lineRule="auto"/>
        <w:rPr>
          <w:rFonts w:eastAsia="楷体_GB2312"/>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left"/>
        <w:rPr>
          <w:snapToGrid w:val="0"/>
          <w:kern w:val="0"/>
        </w:rPr>
      </w:pPr>
    </w:p>
    <w:p>
      <w:pPr>
        <w:pStyle w:val="3"/>
        <w:tabs>
          <w:tab w:val="left" w:pos="371"/>
        </w:tabs>
        <w:spacing w:before="120" w:after="120"/>
        <w:ind w:left="-1" w:leftChars="-1" w:hanging="1"/>
        <w:jc w:val="center"/>
        <w:rPr>
          <w:rFonts w:asciiTheme="minorEastAsia" w:hAnsiTheme="minorEastAsia" w:eastAsiaTheme="minorEastAsia"/>
        </w:rPr>
      </w:pPr>
      <w:bookmarkStart w:id="92" w:name="q16"/>
      <w:bookmarkEnd w:id="92"/>
      <w:bookmarkStart w:id="93" w:name="_格式2__投标保证金凭证"/>
      <w:bookmarkEnd w:id="93"/>
      <w:bookmarkStart w:id="94" w:name="q15"/>
      <w:bookmarkEnd w:id="94"/>
      <w:bookmarkStart w:id="95" w:name="_格式5__"/>
      <w:bookmarkEnd w:id="95"/>
      <w:bookmarkStart w:id="96" w:name="_格式4__"/>
      <w:bookmarkEnd w:id="96"/>
      <w:bookmarkStart w:id="97" w:name="q17"/>
      <w:bookmarkEnd w:id="97"/>
      <w:bookmarkStart w:id="98" w:name="_格式3__"/>
      <w:bookmarkEnd w:id="98"/>
      <w:r>
        <w:rPr>
          <w:rFonts w:asciiTheme="minorEastAsia" w:hAnsiTheme="minorEastAsia" w:eastAsiaTheme="minorEastAsia"/>
        </w:rPr>
        <w:tab/>
      </w:r>
      <w:bookmarkStart w:id="99" w:name="_Toc44691169"/>
      <w:bookmarkStart w:id="100" w:name="_Toc44690710"/>
      <w:bookmarkStart w:id="101" w:name="_Toc44691401"/>
      <w:bookmarkStart w:id="102" w:name="_Toc44690437"/>
      <w:bookmarkStart w:id="103" w:name="_Toc135293191"/>
      <w:r>
        <w:rPr>
          <w:rFonts w:hint="eastAsia" w:asciiTheme="minorEastAsia" w:hAnsiTheme="minorEastAsia" w:eastAsiaTheme="minorEastAsia"/>
        </w:rPr>
        <w:t xml:space="preserve">格式10  </w:t>
      </w:r>
      <w:bookmarkEnd w:id="99"/>
      <w:bookmarkEnd w:id="100"/>
      <w:bookmarkEnd w:id="101"/>
      <w:bookmarkEnd w:id="102"/>
      <w:r>
        <w:rPr>
          <w:rFonts w:hint="eastAsia" w:asciiTheme="minorEastAsia" w:hAnsiTheme="minorEastAsia" w:eastAsiaTheme="minorEastAsia"/>
        </w:rPr>
        <w:t>招标文件要求的其他资料或投标人认为需要补充的资料</w:t>
      </w:r>
      <w:bookmarkEnd w:id="103"/>
    </w:p>
    <w:p>
      <w:pPr>
        <w:spacing w:line="360" w:lineRule="auto"/>
        <w:jc w:val="center"/>
      </w:pPr>
    </w:p>
    <w:p>
      <w:pPr>
        <w:widowControl/>
        <w:snapToGrid w:val="0"/>
        <w:spacing w:line="360" w:lineRule="auto"/>
        <w:jc w:val="left"/>
        <w:outlineLvl w:val="3"/>
        <w:rPr>
          <w:rFonts w:ascii="仿宋" w:hAnsi="仿宋" w:eastAsia="仿宋"/>
          <w:b/>
          <w:bCs/>
          <w:color w:val="FF0000"/>
          <w:kern w:val="0"/>
          <w:sz w:val="25"/>
          <w:szCs w:val="25"/>
        </w:rPr>
      </w:pPr>
      <w:r>
        <w:rPr>
          <w:rFonts w:hint="eastAsia" w:ascii="仿宋" w:hAnsi="仿宋" w:eastAsia="仿宋"/>
          <w:b/>
          <w:bCs/>
          <w:color w:val="FF0000"/>
          <w:kern w:val="0"/>
          <w:sz w:val="25"/>
          <w:szCs w:val="25"/>
        </w:rPr>
        <w:t>特别提醒：</w:t>
      </w:r>
    </w:p>
    <w:p>
      <w:pPr>
        <w:widowControl/>
        <w:snapToGrid w:val="0"/>
        <w:spacing w:line="360" w:lineRule="auto"/>
        <w:jc w:val="left"/>
        <w:rPr>
          <w:rFonts w:ascii="宋体" w:hAnsi="宋体"/>
          <w:color w:val="FF0000"/>
          <w:szCs w:val="21"/>
        </w:rPr>
      </w:pPr>
      <w:r>
        <w:rPr>
          <w:rFonts w:hint="eastAsia" w:ascii="仿宋" w:hAnsi="仿宋" w:eastAsia="仿宋"/>
          <w:color w:val="FF0000"/>
          <w:kern w:val="0"/>
          <w:sz w:val="25"/>
          <w:szCs w:val="25"/>
        </w:rPr>
        <w:t xml:space="preserve">  </w:t>
      </w:r>
      <w:r>
        <w:rPr>
          <w:rFonts w:hint="eastAsia" w:asciiTheme="minorEastAsia" w:hAnsiTheme="minorEastAsia" w:eastAsiaTheme="minorEastAsia"/>
          <w:color w:val="FF0000"/>
          <w:kern w:val="0"/>
          <w:szCs w:val="21"/>
        </w:rPr>
        <w:t xml:space="preserve">  《深圳经济特区政府采购条例实施细则》</w:t>
      </w:r>
      <w:r>
        <w:rPr>
          <w:rFonts w:hint="eastAsia" w:ascii="宋体" w:hAnsi="宋体"/>
          <w:color w:val="FF0000"/>
          <w:szCs w:val="21"/>
        </w:rPr>
        <w:t>第七十九条规定：供应商有下列情形的，属于采购条例所称的串通投标行为。</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（一）投标供应商之间相互约定给予未中标的供应商利益补偿；</w:t>
      </w:r>
    </w:p>
    <w:p>
      <w:pPr>
        <w:widowControl/>
        <w:snapToGrid w:val="0"/>
        <w:spacing w:line="360" w:lineRule="auto"/>
        <w:ind w:firstLine="426" w:firstLineChars="202"/>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（二）不同投标供应商的法定代表人、主要经营负责人、项目投标授权代表人、项目负责人、主要技术人员为同一人、属同一单位或者在同一单位缴纳社会保险；</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（三）不同投标供应商的投标文件由同一单位或者同一人编制，或者由同一人分阶段参与编制的；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（四）不同投标供应商的投标文件或部分投标文件相互混装；</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（五）不同投标供应商的投标文件内容存在非正常一致；</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（六）由同一单位工作人员为两家以上（含两家）供应商进行同一项投标活动的；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（七）主管部门依照法律、法规认定的其他情形。</w:t>
      </w:r>
    </w:p>
    <w:p>
      <w:pPr>
        <w:widowControl/>
        <w:snapToGrid w:val="0"/>
        <w:spacing w:line="360" w:lineRule="auto"/>
        <w:jc w:val="left"/>
        <w:rPr>
          <w:rFonts w:asciiTheme="minorEastAsia" w:hAnsiTheme="minorEastAsia" w:eastAsiaTheme="minorEastAsia"/>
          <w:color w:val="FF0000"/>
          <w:kern w:val="0"/>
          <w:szCs w:val="21"/>
        </w:rPr>
      </w:pPr>
    </w:p>
    <w:p>
      <w:pPr>
        <w:widowControl/>
        <w:snapToGrid w:val="0"/>
        <w:spacing w:line="360" w:lineRule="auto"/>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投标人提供以下资料（格式自拟）：</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1、投标单位法定代表人、主要经营负责人、项目投标授权代表人、项目负责人及主要技术人员近一年社保缴纳查询记录（包含在投标单位及其他缴纳社保单位的记录）；社保缴纳不满一年的按实际缴纳情况提供（因社保部门原因暂时无法提供社保证明的，需提供加盖公章的情况说明或者证明材料。）</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2、其他招标文件要求提供的资料或投标人认为需要补充的资料。</w:t>
      </w:r>
    </w:p>
    <w:p>
      <w:pPr>
        <w:jc w:val="left"/>
        <w:rPr>
          <w:snapToGrid w:val="0"/>
          <w:kern w:val="0"/>
          <w:sz w:val="52"/>
          <w:szCs w:val="52"/>
        </w:rPr>
      </w:pPr>
    </w:p>
    <w:p/>
    <w:p/>
    <w:p/>
    <w:p/>
    <w:p/>
    <w:p/>
    <w:p/>
    <w:p/>
    <w:p/>
    <w:p/>
    <w:p/>
    <w:p/>
    <w:p/>
    <w:p>
      <w:pPr>
        <w:tabs>
          <w:tab w:val="left" w:pos="1875"/>
        </w:tabs>
      </w:pPr>
    </w:p>
    <w:p>
      <w:pPr>
        <w:widowControl/>
        <w:jc w:val="left"/>
        <w:rPr>
          <w:rFonts w:eastAsiaTheme="minorEastAsia"/>
          <w:b/>
          <w:kern w:val="44"/>
          <w:sz w:val="44"/>
          <w:szCs w:val="28"/>
        </w:rPr>
      </w:pPr>
    </w:p>
    <w:p/>
    <w:p>
      <w:pPr>
        <w:pStyle w:val="2"/>
      </w:pPr>
      <w:bookmarkStart w:id="104" w:name="_Toc135293192"/>
      <w:r>
        <w:rPr>
          <w:rFonts w:hint="eastAsia"/>
        </w:rPr>
        <w:t>第八章  合同条款</w:t>
      </w:r>
      <w:bookmarkEnd w:id="104"/>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pStyle w:val="26"/>
        <w:spacing w:line="360" w:lineRule="auto"/>
        <w:ind w:firstLine="482" w:firstLineChars="200"/>
        <w:rPr>
          <w:rFonts w:ascii="Times New Roman" w:hAnsi="Times New Roman"/>
          <w:b/>
          <w:sz w:val="24"/>
        </w:rPr>
      </w:pP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采购人（甲方）：   </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中标人（乙方）：                                       </w:t>
      </w:r>
    </w:p>
    <w:p>
      <w:pPr>
        <w:adjustRightInd w:val="0"/>
        <w:snapToGrid w:val="0"/>
        <w:spacing w:line="360" w:lineRule="auto"/>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w:t>
      </w:r>
      <w:r>
        <w:rPr>
          <w:rFonts w:hint="eastAsia" w:ascii="宋体" w:hAnsi="宋体" w:cs="Courier New"/>
          <w:snapToGrid w:val="0"/>
          <w:szCs w:val="18"/>
        </w:rPr>
        <w:t>中华人民共和国民法典</w:t>
      </w:r>
      <w:r>
        <w:rPr>
          <w:rFonts w:hint="eastAsia" w:asciiTheme="minorEastAsia" w:hAnsiTheme="minorEastAsia"/>
          <w:szCs w:val="21"/>
        </w:rPr>
        <w:t>》之规定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pStyle w:val="26"/>
        <w:snapToGrid w:val="0"/>
        <w:spacing w:line="360" w:lineRule="auto"/>
        <w:ind w:firstLine="422" w:firstLineChars="200"/>
        <w:rPr>
          <w:rFonts w:hAnsi="宋体"/>
          <w:b/>
          <w:szCs w:val="21"/>
        </w:rPr>
      </w:pPr>
      <w:r>
        <w:rPr>
          <w:rFonts w:hint="eastAsia" w:hAnsi="宋体"/>
          <w:b/>
          <w:szCs w:val="21"/>
        </w:rPr>
        <w:t>一、服务内容</w:t>
      </w:r>
    </w:p>
    <w:p>
      <w:pPr>
        <w:spacing w:line="360" w:lineRule="auto"/>
        <w:ind w:firstLine="422" w:firstLineChars="201"/>
        <w:rPr>
          <w:rFonts w:ascii="宋体" w:hAnsi="宋体"/>
          <w:szCs w:val="21"/>
        </w:rPr>
      </w:pPr>
      <w:r>
        <w:rPr>
          <w:rFonts w:hint="eastAsia" w:ascii="宋体" w:hAnsi="宋体"/>
          <w:szCs w:val="21"/>
        </w:rPr>
        <w:t>______________________</w:t>
      </w:r>
    </w:p>
    <w:p>
      <w:pPr>
        <w:pStyle w:val="26"/>
        <w:snapToGrid w:val="0"/>
        <w:spacing w:line="360" w:lineRule="auto"/>
        <w:ind w:firstLine="422" w:firstLineChars="200"/>
        <w:rPr>
          <w:rFonts w:hAnsi="宋体"/>
          <w:b/>
          <w:szCs w:val="21"/>
        </w:rPr>
      </w:pPr>
      <w:r>
        <w:rPr>
          <w:rFonts w:hint="eastAsia" w:hAnsi="宋体"/>
          <w:b/>
          <w:szCs w:val="21"/>
        </w:rPr>
        <w:t>二、合同金额</w:t>
      </w:r>
    </w:p>
    <w:p>
      <w:pPr>
        <w:pStyle w:val="26"/>
        <w:snapToGrid w:val="0"/>
        <w:spacing w:line="360" w:lineRule="auto"/>
        <w:ind w:firstLine="420" w:firstLineChars="200"/>
        <w:rPr>
          <w:rFonts w:hAnsi="宋体"/>
          <w:szCs w:val="21"/>
        </w:rPr>
      </w:pPr>
      <w:r>
        <w:rPr>
          <w:rFonts w:hint="eastAsia" w:hAnsi="宋体"/>
          <w:szCs w:val="21"/>
        </w:rPr>
        <w:t>本合同金额为（大写）：____________________________________元（￥_______________元）人民币。</w:t>
      </w:r>
    </w:p>
    <w:p>
      <w:pPr>
        <w:pStyle w:val="26"/>
        <w:snapToGrid w:val="0"/>
        <w:spacing w:line="360" w:lineRule="auto"/>
        <w:ind w:firstLine="422" w:firstLineChars="200"/>
        <w:rPr>
          <w:rFonts w:hAnsi="宋体"/>
          <w:b/>
          <w:szCs w:val="21"/>
        </w:rPr>
      </w:pPr>
      <w:r>
        <w:rPr>
          <w:rFonts w:hint="eastAsia" w:hAnsi="宋体"/>
          <w:b/>
          <w:szCs w:val="21"/>
        </w:rPr>
        <w:t>三、技术资料</w:t>
      </w:r>
    </w:p>
    <w:p>
      <w:pPr>
        <w:pStyle w:val="26"/>
        <w:snapToGrid w:val="0"/>
        <w:spacing w:line="360" w:lineRule="auto"/>
        <w:ind w:firstLine="420" w:firstLineChars="200"/>
        <w:rPr>
          <w:rFonts w:hAnsi="宋体"/>
          <w:szCs w:val="21"/>
        </w:rPr>
      </w:pPr>
      <w:r>
        <w:rPr>
          <w:rFonts w:hint="eastAsia" w:hAnsi="宋体"/>
          <w:szCs w:val="21"/>
        </w:rPr>
        <w:t>1、中标人应按招标文件规定的时间向采购人提供有关技术资料。</w:t>
      </w:r>
    </w:p>
    <w:p>
      <w:pPr>
        <w:pStyle w:val="26"/>
        <w:snapToGrid w:val="0"/>
        <w:spacing w:line="360" w:lineRule="auto"/>
        <w:ind w:firstLine="420" w:firstLineChars="200"/>
        <w:rPr>
          <w:rFonts w:hAnsi="宋体"/>
          <w:szCs w:val="21"/>
        </w:rPr>
      </w:pPr>
      <w:r>
        <w:rPr>
          <w:rFonts w:hint="eastAsia" w:hAnsi="宋体"/>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pPr>
        <w:pStyle w:val="26"/>
        <w:snapToGrid w:val="0"/>
        <w:spacing w:line="360" w:lineRule="auto"/>
        <w:ind w:firstLine="420" w:firstLineChars="200"/>
        <w:rPr>
          <w:rFonts w:hAnsi="宋体"/>
          <w:szCs w:val="21"/>
        </w:rPr>
      </w:pPr>
      <w:r>
        <w:rPr>
          <w:rFonts w:hint="eastAsia" w:hAnsi="宋体"/>
          <w:szCs w:val="21"/>
        </w:rPr>
        <w:t>3、合同履行完毕，未经采购人的书面同意，中标人不得保存在履行合同过程中所获得或接触到的任何内部数据资料。</w:t>
      </w:r>
    </w:p>
    <w:p>
      <w:pPr>
        <w:pStyle w:val="26"/>
        <w:snapToGrid w:val="0"/>
        <w:spacing w:line="360" w:lineRule="auto"/>
        <w:ind w:firstLine="422" w:firstLineChars="200"/>
        <w:rPr>
          <w:rFonts w:hAnsi="宋体"/>
          <w:b/>
          <w:szCs w:val="21"/>
        </w:rPr>
      </w:pPr>
      <w:r>
        <w:rPr>
          <w:rFonts w:hint="eastAsia" w:hAnsi="宋体"/>
          <w:b/>
          <w:szCs w:val="21"/>
        </w:rPr>
        <w:t>四、知识产权</w:t>
      </w:r>
    </w:p>
    <w:p>
      <w:pPr>
        <w:pStyle w:val="26"/>
        <w:snapToGrid w:val="0"/>
        <w:spacing w:line="360" w:lineRule="auto"/>
        <w:ind w:firstLine="420" w:firstLineChars="200"/>
        <w:rPr>
          <w:rFonts w:hAnsi="宋体"/>
          <w:bCs/>
          <w:szCs w:val="21"/>
        </w:rPr>
      </w:pPr>
      <w:r>
        <w:rPr>
          <w:rFonts w:hint="eastAsia" w:hAnsi="宋体"/>
          <w:szCs w:val="21"/>
        </w:rPr>
        <w:t>中标人应保证提供服务过程中不会侵犯任何第三方的知识产权</w:t>
      </w:r>
      <w:r>
        <w:rPr>
          <w:rFonts w:hint="eastAsia" w:hAnsi="宋体"/>
          <w:bCs/>
          <w:szCs w:val="21"/>
        </w:rPr>
        <w:t>。</w:t>
      </w:r>
    </w:p>
    <w:p>
      <w:pPr>
        <w:pStyle w:val="26"/>
        <w:snapToGrid w:val="0"/>
        <w:spacing w:line="360" w:lineRule="auto"/>
        <w:ind w:firstLine="422" w:firstLineChars="200"/>
        <w:rPr>
          <w:rFonts w:hAnsi="宋体"/>
          <w:b/>
          <w:szCs w:val="21"/>
        </w:rPr>
      </w:pPr>
      <w:r>
        <w:rPr>
          <w:rFonts w:hint="eastAsia" w:hAnsi="宋体"/>
          <w:b/>
          <w:szCs w:val="21"/>
        </w:rPr>
        <w:t>五、履约保证金</w:t>
      </w:r>
    </w:p>
    <w:p>
      <w:pPr>
        <w:snapToGrid w:val="0"/>
        <w:spacing w:line="360" w:lineRule="auto"/>
        <w:ind w:firstLine="422" w:firstLineChars="200"/>
        <w:rPr>
          <w:rFonts w:ascii="宋体" w:hAnsi="宋体"/>
          <w:b/>
          <w:szCs w:val="21"/>
        </w:rPr>
      </w:pPr>
      <w:r>
        <w:rPr>
          <w:rFonts w:hint="eastAsia" w:ascii="宋体" w:hAnsi="宋体"/>
          <w:b/>
          <w:szCs w:val="21"/>
        </w:rPr>
        <w:t>六、采购人的权利与义务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5、采购人的其它权利与义务_______________________</w:t>
      </w:r>
    </w:p>
    <w:p>
      <w:pPr>
        <w:snapToGrid w:val="0"/>
        <w:spacing w:line="360" w:lineRule="auto"/>
        <w:ind w:firstLine="422" w:firstLineChars="200"/>
        <w:rPr>
          <w:rFonts w:ascii="宋体" w:hAnsi="宋体"/>
          <w:b/>
          <w:szCs w:val="21"/>
        </w:rPr>
      </w:pPr>
      <w:r>
        <w:rPr>
          <w:rFonts w:hint="eastAsia" w:ascii="宋体" w:hAnsi="宋体"/>
          <w:b/>
          <w:szCs w:val="21"/>
        </w:rPr>
        <w:t>七、中标人的权利与义务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5、中标人的其它权利与义务_______________________</w:t>
      </w:r>
    </w:p>
    <w:p>
      <w:pPr>
        <w:pStyle w:val="26"/>
        <w:snapToGrid w:val="0"/>
        <w:spacing w:line="360" w:lineRule="auto"/>
        <w:ind w:firstLine="422" w:firstLineChars="200"/>
        <w:rPr>
          <w:rFonts w:hAnsi="宋体"/>
          <w:b/>
          <w:szCs w:val="21"/>
        </w:rPr>
      </w:pPr>
      <w:r>
        <w:rPr>
          <w:rFonts w:hint="eastAsia" w:hAnsi="宋体"/>
          <w:b/>
          <w:szCs w:val="21"/>
        </w:rPr>
        <w:t>八、合同履行时间、履行方式及履行地点</w:t>
      </w:r>
    </w:p>
    <w:p>
      <w:pPr>
        <w:pStyle w:val="26"/>
        <w:snapToGrid w:val="0"/>
        <w:spacing w:line="360" w:lineRule="auto"/>
        <w:ind w:firstLine="420" w:firstLineChars="200"/>
        <w:rPr>
          <w:rFonts w:hAnsi="宋体"/>
          <w:bCs/>
          <w:szCs w:val="21"/>
        </w:rPr>
      </w:pPr>
      <w:r>
        <w:rPr>
          <w:rFonts w:hint="eastAsia" w:hAnsi="宋体"/>
          <w:bCs/>
          <w:szCs w:val="21"/>
        </w:rPr>
        <w:t>1、</w:t>
      </w:r>
      <w:r>
        <w:rPr>
          <w:rFonts w:hint="eastAsia" w:hAnsi="宋体"/>
          <w:szCs w:val="21"/>
        </w:rPr>
        <w:t>履行时间</w:t>
      </w:r>
      <w:r>
        <w:rPr>
          <w:rFonts w:hint="eastAsia" w:hAnsi="宋体"/>
          <w:bCs/>
          <w:szCs w:val="21"/>
        </w:rPr>
        <w:t>：</w:t>
      </w:r>
      <w:r>
        <w:rPr>
          <w:rFonts w:hint="eastAsia" w:hAnsi="宋体"/>
          <w:szCs w:val="21"/>
        </w:rPr>
        <w:t>______________________</w:t>
      </w:r>
    </w:p>
    <w:p>
      <w:pPr>
        <w:pStyle w:val="26"/>
        <w:snapToGrid w:val="0"/>
        <w:spacing w:line="360" w:lineRule="auto"/>
        <w:ind w:firstLine="420" w:firstLineChars="200"/>
        <w:rPr>
          <w:rFonts w:hAnsi="宋体"/>
          <w:bCs/>
          <w:szCs w:val="21"/>
        </w:rPr>
      </w:pPr>
      <w:r>
        <w:rPr>
          <w:rFonts w:hint="eastAsia" w:hAnsi="宋体"/>
          <w:bCs/>
          <w:szCs w:val="21"/>
        </w:rPr>
        <w:t>2、</w:t>
      </w:r>
      <w:r>
        <w:rPr>
          <w:rFonts w:hint="eastAsia" w:hAnsi="宋体"/>
          <w:szCs w:val="21"/>
        </w:rPr>
        <w:t>履行方式</w:t>
      </w:r>
      <w:r>
        <w:rPr>
          <w:rFonts w:hint="eastAsia" w:hAnsi="宋体"/>
          <w:bCs/>
          <w:szCs w:val="21"/>
        </w:rPr>
        <w:t>：</w:t>
      </w:r>
      <w:r>
        <w:rPr>
          <w:rFonts w:hint="eastAsia" w:hAnsi="宋体"/>
          <w:szCs w:val="21"/>
        </w:rPr>
        <w:t>______________________</w:t>
      </w:r>
    </w:p>
    <w:p>
      <w:pPr>
        <w:pStyle w:val="26"/>
        <w:snapToGrid w:val="0"/>
        <w:spacing w:line="360" w:lineRule="auto"/>
        <w:ind w:firstLine="420" w:firstLineChars="200"/>
        <w:rPr>
          <w:rFonts w:hAnsi="宋体"/>
          <w:szCs w:val="21"/>
        </w:rPr>
      </w:pPr>
      <w:r>
        <w:rPr>
          <w:rFonts w:hint="eastAsia" w:hAnsi="宋体"/>
          <w:bCs/>
          <w:szCs w:val="21"/>
        </w:rPr>
        <w:t>3、</w:t>
      </w:r>
      <w:r>
        <w:rPr>
          <w:rFonts w:hint="eastAsia" w:hAnsi="宋体"/>
          <w:szCs w:val="21"/>
        </w:rPr>
        <w:t>履行地点</w:t>
      </w:r>
      <w:r>
        <w:rPr>
          <w:rFonts w:hint="eastAsia" w:hAnsi="宋体"/>
          <w:bCs/>
          <w:szCs w:val="21"/>
        </w:rPr>
        <w:t>：</w:t>
      </w:r>
      <w:r>
        <w:rPr>
          <w:rFonts w:hint="eastAsia" w:hAnsi="宋体"/>
          <w:szCs w:val="21"/>
          <w:u w:val="single"/>
        </w:rPr>
        <w:t>深圳市</w:t>
      </w:r>
    </w:p>
    <w:p>
      <w:pPr>
        <w:snapToGrid w:val="0"/>
        <w:spacing w:line="360" w:lineRule="auto"/>
        <w:ind w:firstLine="422" w:firstLineChars="200"/>
        <w:rPr>
          <w:rFonts w:ascii="宋体" w:hAnsi="宋体"/>
          <w:b/>
          <w:szCs w:val="21"/>
        </w:rPr>
      </w:pPr>
      <w:r>
        <w:rPr>
          <w:rFonts w:hint="eastAsia" w:ascii="宋体" w:hAnsi="宋体"/>
          <w:b/>
          <w:szCs w:val="21"/>
        </w:rPr>
        <w:t>九、验收</w:t>
      </w:r>
    </w:p>
    <w:p>
      <w:pPr>
        <w:snapToGrid w:val="0"/>
        <w:spacing w:line="360" w:lineRule="auto"/>
        <w:ind w:firstLine="420" w:firstLineChars="200"/>
        <w:rPr>
          <w:rFonts w:ascii="宋体" w:hAnsi="宋体"/>
          <w:szCs w:val="21"/>
        </w:rPr>
      </w:pPr>
      <w:r>
        <w:rPr>
          <w:rFonts w:hint="eastAsia" w:ascii="宋体" w:hAnsi="宋体"/>
          <w:szCs w:val="21"/>
        </w:rPr>
        <w:t>1、下列文件的验收分为______个阶段:</w:t>
      </w:r>
    </w:p>
    <w:p>
      <w:pPr>
        <w:snapToGrid w:val="0"/>
        <w:spacing w:line="360" w:lineRule="auto"/>
        <w:ind w:firstLine="420" w:firstLineChars="200"/>
        <w:rPr>
          <w:rFonts w:ascii="宋体" w:hAnsi="宋体"/>
          <w:szCs w:val="21"/>
        </w:rPr>
      </w:pPr>
      <w:r>
        <w:rPr>
          <w:rFonts w:hint="eastAsia" w:ascii="宋体" w:hAnsi="宋体"/>
          <w:szCs w:val="21"/>
        </w:rPr>
        <w:t>2、其余文件和工作由用户组织有关技术人员根据国家和行业有关规范、规程、标准和用户需求直接验收。</w:t>
      </w:r>
    </w:p>
    <w:p>
      <w:pPr>
        <w:snapToGrid w:val="0"/>
        <w:spacing w:line="360" w:lineRule="auto"/>
        <w:ind w:firstLine="420" w:firstLineChars="200"/>
        <w:rPr>
          <w:rFonts w:ascii="宋体" w:hAnsi="宋体"/>
          <w:szCs w:val="21"/>
        </w:rPr>
      </w:pPr>
      <w:r>
        <w:rPr>
          <w:rFonts w:hint="eastAsia" w:ascii="宋体" w:hAnsi="宋体"/>
          <w:szCs w:val="21"/>
        </w:rPr>
        <w:t>3、验收依据为招标文件、中标人投标文件，国家和行业有关规范、规程和标准。</w:t>
      </w:r>
    </w:p>
    <w:p>
      <w:pPr>
        <w:pStyle w:val="26"/>
        <w:snapToGrid w:val="0"/>
        <w:spacing w:line="360" w:lineRule="auto"/>
        <w:ind w:firstLine="422" w:firstLineChars="200"/>
        <w:rPr>
          <w:rFonts w:hAnsi="宋体"/>
          <w:b/>
          <w:szCs w:val="21"/>
        </w:rPr>
      </w:pPr>
      <w:r>
        <w:rPr>
          <w:rFonts w:hint="eastAsia" w:hAnsi="宋体"/>
          <w:b/>
          <w:szCs w:val="21"/>
        </w:rPr>
        <w:t>十、付款方式和税费</w:t>
      </w:r>
    </w:p>
    <w:p>
      <w:pPr>
        <w:pStyle w:val="26"/>
        <w:snapToGrid w:val="0"/>
        <w:spacing w:line="360" w:lineRule="auto"/>
        <w:ind w:firstLine="420" w:firstLineChars="200"/>
        <w:rPr>
          <w:rFonts w:hAnsi="宋体"/>
          <w:bCs/>
          <w:szCs w:val="21"/>
        </w:rPr>
      </w:pPr>
      <w:r>
        <w:rPr>
          <w:rFonts w:hAnsi="宋体" w:cs="宋体"/>
          <w:szCs w:val="21"/>
        </w:rPr>
        <w:t>本合同付款方式为</w:t>
      </w:r>
      <w:r>
        <w:rPr>
          <w:rFonts w:hint="eastAsia" w:hAnsi="宋体" w:cs="宋体"/>
          <w:szCs w:val="21"/>
        </w:rPr>
        <w:t>：</w:t>
      </w:r>
      <w:r>
        <w:rPr>
          <w:rFonts w:hint="eastAsia" w:hAnsi="宋体" w:cs="宋体"/>
          <w:szCs w:val="21"/>
          <w:u w:val="single"/>
        </w:rPr>
        <w:t xml:space="preserve">                </w:t>
      </w:r>
      <w:r>
        <w:rPr>
          <w:rFonts w:hint="eastAsia" w:hAnsi="宋体"/>
          <w:bCs/>
          <w:szCs w:val="21"/>
        </w:rPr>
        <w:t>。</w:t>
      </w:r>
    </w:p>
    <w:p>
      <w:pPr>
        <w:snapToGrid w:val="0"/>
        <w:spacing w:line="360" w:lineRule="auto"/>
        <w:ind w:firstLine="420" w:firstLineChars="200"/>
        <w:rPr>
          <w:rFonts w:ascii="宋体" w:hAnsi="宋体"/>
          <w:szCs w:val="21"/>
        </w:rPr>
      </w:pPr>
      <w:r>
        <w:rPr>
          <w:rFonts w:hint="eastAsia" w:ascii="宋体" w:hAnsi="宋体"/>
          <w:szCs w:val="21"/>
        </w:rPr>
        <w:t>本合同执行中相关的一切税费均由中标人负担。</w:t>
      </w:r>
    </w:p>
    <w:p>
      <w:pPr>
        <w:snapToGrid w:val="0"/>
        <w:spacing w:line="360" w:lineRule="auto"/>
        <w:ind w:firstLine="422" w:firstLineChars="200"/>
        <w:rPr>
          <w:rFonts w:ascii="宋体" w:hAnsi="宋体"/>
          <w:b/>
          <w:bCs/>
          <w:szCs w:val="21"/>
        </w:rPr>
      </w:pPr>
      <w:r>
        <w:rPr>
          <w:rFonts w:hint="eastAsia" w:ascii="宋体" w:hAnsi="宋体"/>
          <w:b/>
          <w:szCs w:val="21"/>
        </w:rPr>
        <w:t>十一、</w:t>
      </w:r>
      <w:r>
        <w:rPr>
          <w:rFonts w:hint="eastAsia" w:ascii="宋体" w:hAnsi="宋体"/>
          <w:b/>
          <w:bCs/>
          <w:szCs w:val="21"/>
        </w:rPr>
        <w:t>争议解决办法</w:t>
      </w:r>
    </w:p>
    <w:p>
      <w:pPr>
        <w:snapToGrid w:val="0"/>
        <w:spacing w:line="360" w:lineRule="auto"/>
        <w:ind w:firstLine="420" w:firstLineChars="20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hint="eastAsia" w:ascii="宋体" w:hAnsi="宋体"/>
          <w:szCs w:val="21"/>
        </w:rPr>
        <w:t>。</w:t>
      </w:r>
    </w:p>
    <w:p>
      <w:pPr>
        <w:pStyle w:val="26"/>
        <w:snapToGrid w:val="0"/>
        <w:spacing w:line="360" w:lineRule="auto"/>
        <w:ind w:firstLine="422" w:firstLineChars="200"/>
        <w:rPr>
          <w:rFonts w:hAnsi="宋体"/>
          <w:b/>
          <w:szCs w:val="21"/>
        </w:rPr>
      </w:pPr>
      <w:r>
        <w:rPr>
          <w:rFonts w:hint="eastAsia" w:hAnsi="宋体"/>
          <w:b/>
          <w:szCs w:val="21"/>
        </w:rPr>
        <w:t>十二、违约责任</w:t>
      </w:r>
    </w:p>
    <w:p>
      <w:pPr>
        <w:pStyle w:val="26"/>
        <w:snapToGrid w:val="0"/>
        <w:spacing w:line="360" w:lineRule="auto"/>
        <w:ind w:firstLine="420" w:firstLineChars="200"/>
        <w:rPr>
          <w:rFonts w:hAnsi="宋体"/>
          <w:szCs w:val="21"/>
        </w:rPr>
      </w:pPr>
      <w:r>
        <w:rPr>
          <w:rFonts w:hint="eastAsia" w:hAnsi="宋体"/>
          <w:szCs w:val="21"/>
        </w:rPr>
        <w:t>1、因中标人原因，未能按规定完成本项目有关工作的，采购人可在支付合同余款中扣除合同价款</w:t>
      </w:r>
      <w:r>
        <w:rPr>
          <w:rFonts w:hint="eastAsia" w:hAnsi="宋体"/>
          <w:szCs w:val="21"/>
          <w:u w:val="single"/>
        </w:rPr>
        <w:t xml:space="preserve">        </w:t>
      </w:r>
      <w:r>
        <w:rPr>
          <w:rFonts w:hint="eastAsia" w:hAnsi="宋体"/>
          <w:szCs w:val="21"/>
        </w:rPr>
        <w:t>。</w:t>
      </w:r>
    </w:p>
    <w:p>
      <w:pPr>
        <w:snapToGrid w:val="0"/>
        <w:spacing w:line="360" w:lineRule="auto"/>
        <w:ind w:firstLine="420" w:firstLineChars="200"/>
        <w:rPr>
          <w:rFonts w:ascii="宋体" w:hAnsi="宋体"/>
          <w:szCs w:val="21"/>
        </w:rPr>
      </w:pPr>
      <w:r>
        <w:rPr>
          <w:rFonts w:hint="eastAsia" w:ascii="宋体" w:hAnsi="宋体"/>
          <w:szCs w:val="21"/>
        </w:rPr>
        <w:t>2、__________方违反本合同__________约定，应当__________。</w:t>
      </w:r>
    </w:p>
    <w:p>
      <w:pPr>
        <w:snapToGrid w:val="0"/>
        <w:spacing w:line="360" w:lineRule="auto"/>
        <w:ind w:firstLine="422" w:firstLineChars="200"/>
        <w:rPr>
          <w:rFonts w:ascii="宋体" w:hAnsi="宋体"/>
          <w:b/>
          <w:bCs/>
          <w:szCs w:val="21"/>
        </w:rPr>
      </w:pPr>
      <w:r>
        <w:rPr>
          <w:rFonts w:hint="eastAsia" w:ascii="宋体" w:hAnsi="宋体"/>
          <w:b/>
          <w:szCs w:val="21"/>
        </w:rPr>
        <w:t>十三、</w:t>
      </w:r>
      <w:r>
        <w:rPr>
          <w:rFonts w:hint="eastAsia" w:asciiTheme="minorEastAsia" w:hAnsiTheme="minorEastAsia"/>
          <w:b/>
          <w:szCs w:val="21"/>
        </w:rPr>
        <w:t>合同的变更、解除或终止</w:t>
      </w:r>
    </w:p>
    <w:p>
      <w:pPr>
        <w:snapToGrid w:val="0"/>
        <w:spacing w:line="360" w:lineRule="auto"/>
        <w:ind w:firstLine="420" w:firstLineChars="200"/>
        <w:rPr>
          <w:rFonts w:ascii="宋体" w:hAnsi="宋体"/>
          <w:b/>
          <w:bCs/>
          <w:szCs w:val="21"/>
        </w:rPr>
      </w:pPr>
      <w:r>
        <w:rPr>
          <w:rFonts w:hint="eastAsia" w:ascii="宋体" w:hAnsi="宋体"/>
          <w:szCs w:val="21"/>
        </w:rPr>
        <w:t>除政府采购合同继续履行将损害国家利益和社会公共利益外，双方当事人不得擅自变更、中止或者终止合同。</w:t>
      </w:r>
    </w:p>
    <w:p>
      <w:pPr>
        <w:snapToGrid w:val="0"/>
        <w:spacing w:line="360" w:lineRule="auto"/>
        <w:ind w:firstLine="422" w:firstLineChars="200"/>
        <w:rPr>
          <w:rFonts w:ascii="宋体" w:hAnsi="宋体"/>
          <w:b/>
          <w:bCs/>
          <w:szCs w:val="21"/>
        </w:rPr>
      </w:pPr>
      <w:r>
        <w:rPr>
          <w:rFonts w:hint="eastAsia" w:ascii="宋体" w:hAnsi="宋体"/>
          <w:b/>
          <w:szCs w:val="21"/>
        </w:rPr>
        <w:t>十四、</w:t>
      </w:r>
      <w:r>
        <w:rPr>
          <w:rFonts w:hint="eastAsia" w:asciiTheme="minorEastAsia" w:hAnsiTheme="minorEastAsia"/>
          <w:b/>
          <w:szCs w:val="21"/>
        </w:rPr>
        <w:t>合同生效及其他</w:t>
      </w:r>
    </w:p>
    <w:p>
      <w:pPr>
        <w:snapToGrid w:val="0"/>
        <w:spacing w:line="360" w:lineRule="auto"/>
        <w:ind w:firstLine="420" w:firstLineChars="200"/>
        <w:rPr>
          <w:rFonts w:ascii="宋体" w:hAnsi="宋体"/>
          <w:szCs w:val="21"/>
        </w:rPr>
      </w:pPr>
      <w:r>
        <w:rPr>
          <w:rFonts w:hint="eastAsia" w:ascii="宋体" w:hAnsi="宋体"/>
          <w:szCs w:val="21"/>
        </w:rPr>
        <w:t>1、本合同与招标文件、中标人投标文件如有抵触之处，以本合同条款为准。</w:t>
      </w:r>
    </w:p>
    <w:p>
      <w:pPr>
        <w:snapToGrid w:val="0"/>
        <w:spacing w:line="360" w:lineRule="auto"/>
        <w:ind w:firstLine="420" w:firstLineChars="200"/>
        <w:rPr>
          <w:rFonts w:ascii="宋体" w:hAnsi="宋体"/>
          <w:szCs w:val="21"/>
        </w:rPr>
      </w:pPr>
      <w:r>
        <w:rPr>
          <w:rFonts w:hint="eastAsia" w:ascii="宋体" w:hAnsi="宋体"/>
          <w:szCs w:val="21"/>
        </w:rPr>
        <w:t>2、下列文件均为本合同的组成部分：</w:t>
      </w:r>
    </w:p>
    <w:p>
      <w:pPr>
        <w:snapToGrid w:val="0"/>
        <w:spacing w:line="360" w:lineRule="auto"/>
        <w:ind w:firstLine="420" w:firstLineChars="200"/>
        <w:rPr>
          <w:rFonts w:ascii="宋体" w:hAnsi="宋体"/>
          <w:szCs w:val="21"/>
        </w:rPr>
      </w:pPr>
      <w:r>
        <w:rPr>
          <w:rFonts w:hint="eastAsia" w:ascii="宋体" w:hAnsi="宋体"/>
          <w:szCs w:val="21"/>
        </w:rPr>
        <w:t>（1）招标文件、答疑及补充通知；</w:t>
      </w:r>
    </w:p>
    <w:p>
      <w:pPr>
        <w:snapToGrid w:val="0"/>
        <w:spacing w:line="360" w:lineRule="auto"/>
        <w:ind w:firstLine="420" w:firstLineChars="200"/>
        <w:rPr>
          <w:rFonts w:ascii="宋体" w:hAnsi="宋体"/>
          <w:szCs w:val="21"/>
        </w:rPr>
      </w:pPr>
      <w:r>
        <w:rPr>
          <w:rFonts w:hint="eastAsia" w:ascii="宋体" w:hAnsi="宋体"/>
          <w:szCs w:val="21"/>
        </w:rPr>
        <w:t>（2）</w:t>
      </w:r>
      <w:r>
        <w:rPr>
          <w:rFonts w:asciiTheme="minorEastAsia" w:hAnsiTheme="minorEastAsia"/>
          <w:szCs w:val="21"/>
        </w:rPr>
        <w:t>乙方的</w:t>
      </w:r>
      <w:r>
        <w:rPr>
          <w:rFonts w:hint="eastAsia" w:ascii="宋体" w:hAnsi="宋体"/>
          <w:szCs w:val="21"/>
        </w:rPr>
        <w:t>投标文件；</w:t>
      </w:r>
    </w:p>
    <w:p>
      <w:pPr>
        <w:snapToGrid w:val="0"/>
        <w:spacing w:line="360" w:lineRule="auto"/>
        <w:ind w:firstLine="420" w:firstLineChars="200"/>
        <w:rPr>
          <w:rFonts w:ascii="宋体" w:hAnsi="宋体"/>
          <w:szCs w:val="21"/>
        </w:rPr>
      </w:pPr>
      <w:r>
        <w:rPr>
          <w:rFonts w:hint="eastAsia" w:ascii="宋体" w:hAnsi="宋体"/>
          <w:szCs w:val="21"/>
        </w:rPr>
        <w:t>（3）本合同执行中共同签署的补充与修正文件。</w:t>
      </w:r>
    </w:p>
    <w:p>
      <w:pPr>
        <w:snapToGrid w:val="0"/>
        <w:spacing w:line="360" w:lineRule="auto"/>
        <w:ind w:firstLine="420" w:firstLineChars="200"/>
        <w:rPr>
          <w:rFonts w:ascii="宋体" w:hAnsi="宋体"/>
          <w:szCs w:val="21"/>
        </w:rPr>
      </w:pPr>
      <w:r>
        <w:rPr>
          <w:rFonts w:hint="eastAsia" w:ascii="宋体" w:hAnsi="宋体"/>
          <w:szCs w:val="21"/>
        </w:rPr>
        <w:t>3、本合同一式_____份，甲、中标人双方各执_____份，具有同等法律效力。本合同自双方法定代表人签字（盖章）认可之日起生效。</w:t>
      </w:r>
    </w:p>
    <w:p>
      <w:pPr>
        <w:snapToGrid w:val="0"/>
        <w:spacing w:line="360" w:lineRule="auto"/>
        <w:ind w:firstLine="420" w:firstLineChars="200"/>
        <w:rPr>
          <w:rFonts w:ascii="宋体" w:hAnsi="宋体"/>
          <w:szCs w:val="21"/>
        </w:rPr>
      </w:pPr>
      <w:r>
        <w:rPr>
          <w:rFonts w:hint="eastAsia" w:ascii="宋体" w:hAnsi="宋体"/>
          <w:szCs w:val="21"/>
        </w:rPr>
        <w:t>4、本合同未尽事宜，双方友好协商，达成解决方案，经双方签字后，可作为本合同的有效附件。</w:t>
      </w:r>
    </w:p>
    <w:p>
      <w:pPr>
        <w:pStyle w:val="26"/>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napToGrid w:val="0"/>
        <w:spacing w:line="360" w:lineRule="auto"/>
        <w:rPr>
          <w:rFonts w:ascii="宋体" w:hAnsi="宋体"/>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spacing w:line="360" w:lineRule="auto"/>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2"/>
      </w:pPr>
      <w:bookmarkStart w:id="105" w:name="_Toc73610161"/>
      <w:bookmarkStart w:id="106" w:name="_Toc135293193"/>
      <w:r>
        <w:rPr>
          <w:rFonts w:hint="eastAsia"/>
        </w:rPr>
        <w:t>第九章  附件</w:t>
      </w:r>
      <w:bookmarkEnd w:id="105"/>
      <w:bookmarkEnd w:id="106"/>
    </w:p>
    <w:p>
      <w:pPr>
        <w:pStyle w:val="4"/>
        <w:spacing w:before="0" w:after="0"/>
      </w:pPr>
      <w:bookmarkStart w:id="107" w:name="_Toc135293194"/>
      <w:bookmarkStart w:id="108" w:name="_Toc73613644"/>
      <w:bookmarkStart w:id="109" w:name="_Toc73610162"/>
      <w:r>
        <w:rPr>
          <w:rFonts w:hint="eastAsia"/>
        </w:rPr>
        <w:t>一、财政部 工业和信息化部关于印发《政府采购促进中小企业发展管理办法》的通知</w:t>
      </w:r>
      <w:bookmarkEnd w:id="107"/>
      <w:bookmarkEnd w:id="108"/>
      <w:bookmarkEnd w:id="109"/>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财库〔2020〕46号</w:t>
      </w: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各中央预算单位办公厅（室），各省、自治区、直辖市、计划单列市财政厅（局）、工业和信息化主管部门，新疆生产建设兵团财政局、工业和信息化主管部门：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附件：政府采购促进中小企业发展管理办法</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财　　政　　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工业和信息化部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2020年12月18日</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附件</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jc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政府采购促进中小企业发展管理办法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第一条</w:t>
      </w:r>
      <w:r>
        <w:rPr>
          <w:rFonts w:hint="eastAsia" w:cs="宋体" w:asciiTheme="minorEastAsia" w:hAnsiTheme="minorEastAsia" w:eastAsiaTheme="minorEastAsia"/>
          <w:color w:val="333333"/>
          <w:kern w:val="0"/>
          <w:szCs w:val="21"/>
        </w:rPr>
        <w:t>　为了发挥政府采购的政策功能，促进中小企业健康发展，根据《中华人民共和国政府采购法》、《中华人民共和国中小企业促进法》等有关法律法规，制定本办法。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第二条</w:t>
      </w:r>
      <w:r>
        <w:rPr>
          <w:rFonts w:hint="eastAsia" w:cs="宋体" w:asciiTheme="minorEastAsia" w:hAnsiTheme="minorEastAsia" w:eastAsiaTheme="minorEastAsia"/>
          <w:color w:val="333333"/>
          <w:kern w:val="0"/>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符合中小企业划分标准的个体工商户，在政府采购活动中视同中小企业。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第三条</w:t>
      </w:r>
      <w:r>
        <w:rPr>
          <w:rFonts w:hint="eastAsia" w:cs="宋体" w:asciiTheme="minorEastAsia" w:hAnsiTheme="minorEastAsia" w:eastAsiaTheme="minorEastAsia"/>
          <w:color w:val="333333"/>
          <w:kern w:val="0"/>
          <w:szCs w:val="21"/>
        </w:rPr>
        <w:t>　采购人在政府采购活动中应当通过加强采购需求管理，落实预留采购份额、价格评审优惠、优先采购等措施，提高中小企业在政府采购中的份额，支持中小企业发展。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第四条</w:t>
      </w:r>
      <w:r>
        <w:rPr>
          <w:rFonts w:hint="eastAsia" w:cs="宋体" w:asciiTheme="minorEastAsia" w:hAnsiTheme="minorEastAsia" w:eastAsiaTheme="minorEastAsia"/>
          <w:color w:val="333333"/>
          <w:kern w:val="0"/>
          <w:szCs w:val="21"/>
        </w:rPr>
        <w:t>　在政府采购活动中，供应商提供的货物、工程或者服务符合下列情形的，享受本办法规定的中小企业扶持政策：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（一）在货物采购项目中，货物由中小企业制造，即货物由中小企业生产且使用该中小企业商号或者注册商标；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（二）在工程采购项目中，工程由中小企业承建，即工程施工单位为中小企业；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（三）在服务采购项目中，服务由中小企业承接，即提供服务的人员为中小企业依照《中华人民共和国劳动合同法》订立劳动合同的从业人员。</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在货物采购项目中，供应商提供的货物既有中小企业制造货物，也有大型企业制造货物的，不享受本办法规定的中小企业扶持政策。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以联合体形式参加政府采购活动，联合体各方均为中小企业的，联合体视同中小企业。其中，联合体各方均为小微企业的，联合体视同小微企业。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第五条</w:t>
      </w:r>
      <w:r>
        <w:rPr>
          <w:rFonts w:hint="eastAsia" w:cs="宋体" w:asciiTheme="minorEastAsia" w:hAnsiTheme="minorEastAsia" w:eastAsiaTheme="minorEastAsia"/>
          <w:color w:val="333333"/>
          <w:kern w:val="0"/>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第六条</w:t>
      </w:r>
      <w:r>
        <w:rPr>
          <w:rFonts w:hint="eastAsia" w:cs="宋体" w:asciiTheme="minorEastAsia" w:hAnsiTheme="minorEastAsia" w:eastAsiaTheme="minorEastAsia"/>
          <w:color w:val="333333"/>
          <w:kern w:val="0"/>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符合下列情形之一的，可不专门面向中小企业预留采购份额：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（一）法律法规和国家有关政策明确规定优先或者应当面向事业单位、社会组织等非企业主体采购的；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（二）因确需使用不可替代的专利、专有技术，基础设施限制，或者提供特定公共服务等原因，只能从中小企业之外的供应商处采购的；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（三）按照本办法规定预留采购份额无法确保充分供应、充分竞争，或者存在可能影响政府采购目标实现的情形；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（四）框架协议采购项目；</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（五）省级以上人民政府财政部门规定的其他情形。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除上述情形外，其他均为适宜由中小企业提供的情形。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第七条</w:t>
      </w:r>
      <w:r>
        <w:rPr>
          <w:rFonts w:hint="eastAsia" w:cs="宋体" w:asciiTheme="minorEastAsia" w:hAnsiTheme="minorEastAsia" w:eastAsiaTheme="minorEastAsia"/>
          <w:color w:val="333333"/>
          <w:kern w:val="0"/>
          <w:szCs w:val="21"/>
        </w:rPr>
        <w:t>　采购限额标准以上，200万元以下的货物和服务采购项目、400万元以下的工程采购项目，适宜由中小企业提供的，采购人应当专门面向中小企业采购。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第八条</w:t>
      </w:r>
      <w:r>
        <w:rPr>
          <w:rFonts w:hint="eastAsia" w:cs="宋体" w:asciiTheme="minorEastAsia" w:hAnsiTheme="minorEastAsia" w:eastAsiaTheme="minorEastAsia"/>
          <w:color w:val="333333"/>
          <w:kern w:val="0"/>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（一）将采购项目整体或者设置采购包专门面向中小企业采购；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（二）要求供应商以联合体形式参加采购活动，且联合体中中小企业承担的部分达到一定比例；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（三）要求获得采购合同的供应商将采购项目中的一定比例分包给一家或者多家中小企业。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组成联合体或者接受分包合同的中小企业与联合体内其他企业、分包企业之间不得存在直接控股、管理关系。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第九条</w:t>
      </w:r>
      <w:r>
        <w:rPr>
          <w:rFonts w:hint="eastAsia" w:cs="宋体" w:asciiTheme="minorEastAsia" w:hAnsiTheme="minorEastAsia" w:eastAsiaTheme="minorEastAsia"/>
          <w:color w:val="333333"/>
          <w:kern w:val="0"/>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第十条</w:t>
      </w:r>
      <w:r>
        <w:rPr>
          <w:rFonts w:hint="eastAsia" w:cs="宋体" w:asciiTheme="minorEastAsia" w:hAnsiTheme="minorEastAsia" w:eastAsiaTheme="minorEastAsia"/>
          <w:color w:val="333333"/>
          <w:kern w:val="0"/>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第十一条</w:t>
      </w:r>
      <w:r>
        <w:rPr>
          <w:rFonts w:hint="eastAsia" w:cs="宋体" w:asciiTheme="minorEastAsia" w:hAnsiTheme="minorEastAsia" w:eastAsiaTheme="minorEastAsia"/>
          <w:color w:val="333333"/>
          <w:kern w:val="0"/>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第十二条</w:t>
      </w:r>
      <w:r>
        <w:rPr>
          <w:rFonts w:hint="eastAsia" w:cs="宋体" w:asciiTheme="minorEastAsia" w:hAnsiTheme="minorEastAsia" w:eastAsiaTheme="minorEastAsia"/>
          <w:color w:val="333333"/>
          <w:kern w:val="0"/>
          <w:szCs w:val="21"/>
        </w:rPr>
        <w:t>　采购项目涉及中小企业采购的，采购文件应当明确以下内容：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（一）预留份额的采购项目或者采购包，明确该项目或相关采购包专门面向中小企业采购，以及相关标的及预算金额；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（二）要求以联合体形式参加或者合同分包的，明确联合协议或者分包意向协议中中小企业合同金额应当达到的比例，并作为供应商资格条件；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（三）非预留份额的采购项目或者采购包，明确有关价格扣除比例或者价格分加分比例；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（四）规定依据本办法规定享受扶持政策获得政府采购合同的，小微企业不得将合同分包给大中型企业，中型企业不得将合同分包给大型企业；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（五）采购人认为具备相关条件的，明确对中小企业在资金支付期限、预付款比例等方面的优惠措施；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（六）明确采购标的对应的中小企业划分标准所属行业；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（七）法律法规和省级以上人民政府财政部门规定的其他事项。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第十三条</w:t>
      </w:r>
      <w:r>
        <w:rPr>
          <w:rFonts w:hint="eastAsia" w:cs="宋体" w:asciiTheme="minorEastAsia" w:hAnsiTheme="minorEastAsia" w:eastAsiaTheme="minorEastAsia"/>
          <w:color w:val="333333"/>
          <w:kern w:val="0"/>
          <w:szCs w:val="21"/>
        </w:rPr>
        <w:t>　中标、成交供应商享受本办法规定的中小企业扶持政策的，采购人、采购代理机构应当随中标、成交结果公开中标、成交供应商的《中小企业声明函》。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适用招标投标法的政府采购工程建设项目，应当在公示中标候选人时公开中标候选人的《中小企业声明函》。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第十四条</w:t>
      </w:r>
      <w:r>
        <w:rPr>
          <w:rFonts w:hint="eastAsia" w:cs="宋体" w:asciiTheme="minorEastAsia" w:hAnsiTheme="minorEastAsia" w:eastAsiaTheme="minorEastAsia"/>
          <w:color w:val="333333"/>
          <w:kern w:val="0"/>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第十五条</w:t>
      </w:r>
      <w:r>
        <w:rPr>
          <w:rFonts w:hint="eastAsia" w:cs="宋体" w:asciiTheme="minorEastAsia" w:hAnsiTheme="minorEastAsia" w:eastAsiaTheme="minorEastAsia"/>
          <w:color w:val="333333"/>
          <w:kern w:val="0"/>
          <w:szCs w:val="21"/>
        </w:rPr>
        <w:t>　鼓励各地区、各部门在采购活动中允许中小企业引入信用担保手段，为中小企业在投标（响应）保证、履约保证等方面提供专业化服务。鼓励中小企业依法合规通过政府采购合同融资。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第十六条</w:t>
      </w:r>
      <w:r>
        <w:rPr>
          <w:rFonts w:hint="eastAsia" w:cs="宋体" w:asciiTheme="minorEastAsia" w:hAnsiTheme="minorEastAsia" w:eastAsiaTheme="minorEastAsia"/>
          <w:color w:val="333333"/>
          <w:kern w:val="0"/>
          <w:szCs w:val="21"/>
        </w:rPr>
        <w:t>　政府采购监督检查、投诉处理及政府采购行政处罚中对中小企业的认定，由货物制造商或者工程、服务供应商注册登记所在地的县级以上人民政府中小企业主管部门负责。</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中小企业主管部门应当在收到财政部门或者有关招标投标行政监督部门关于协助开展中小企业认定函后10个工作日内做出书面答复。</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第十七条</w:t>
      </w:r>
      <w:r>
        <w:rPr>
          <w:rFonts w:hint="eastAsia" w:cs="宋体" w:asciiTheme="minorEastAsia" w:hAnsiTheme="minorEastAsia" w:eastAsiaTheme="minorEastAsia"/>
          <w:color w:val="333333"/>
          <w:kern w:val="0"/>
          <w:szCs w:val="21"/>
        </w:rPr>
        <w:t>　各地区、各部门应当对涉及中小企业采购的预算项目实施全过程绩效管理，合理设置绩效目标和指标，落实扶持中小企业有关政策要求，定期开展绩效监控和评价，强化绩效评价结果应用。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第十八条</w:t>
      </w:r>
      <w:r>
        <w:rPr>
          <w:rFonts w:hint="eastAsia" w:cs="宋体" w:asciiTheme="minorEastAsia" w:hAnsiTheme="minorEastAsia" w:eastAsiaTheme="minorEastAsia"/>
          <w:color w:val="333333"/>
          <w:kern w:val="0"/>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第十九条</w:t>
      </w:r>
      <w:r>
        <w:rPr>
          <w:rFonts w:hint="eastAsia" w:cs="宋体" w:asciiTheme="minorEastAsia" w:hAnsiTheme="minorEastAsia" w:eastAsiaTheme="minorEastAsia"/>
          <w:color w:val="333333"/>
          <w:kern w:val="0"/>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第二十条</w:t>
      </w:r>
      <w:r>
        <w:rPr>
          <w:rFonts w:hint="eastAsia" w:cs="宋体" w:asciiTheme="minorEastAsia" w:hAnsiTheme="minorEastAsia" w:eastAsiaTheme="minorEastAsia"/>
          <w:color w:val="333333"/>
          <w:kern w:val="0"/>
          <w:szCs w:val="21"/>
        </w:rPr>
        <w:t>　供应商按照本办法规定提供声明函内容不实的，属于提供虚假材料谋取中标、成交，依照《中华人民共和国政府采购法》等国家有关规定追究相应责任。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适用招标投标法的政府采购工程建设项目，投标人按照本办法规定提供声明函内容不实的，属于弄虚作假骗取中标，依照《中华人民共和国招标投标法》等国家有关规定追究相应责任。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第二十一条</w:t>
      </w:r>
      <w:r>
        <w:rPr>
          <w:rFonts w:hint="eastAsia" w:cs="宋体" w:asciiTheme="minorEastAsia" w:hAnsiTheme="minorEastAsia" w:eastAsiaTheme="minorEastAsia"/>
          <w:color w:val="333333"/>
          <w:kern w:val="0"/>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第二十二条</w:t>
      </w:r>
      <w:r>
        <w:rPr>
          <w:rFonts w:hint="eastAsia" w:cs="宋体" w:asciiTheme="minorEastAsia" w:hAnsiTheme="minorEastAsia" w:eastAsiaTheme="minorEastAsia"/>
          <w:color w:val="333333"/>
          <w:kern w:val="0"/>
          <w:szCs w:val="21"/>
        </w:rPr>
        <w:t>　对外援助项目、国家相关资格或者资质管理制度另有规定的项目，不适用本办法。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第二十三条</w:t>
      </w:r>
      <w:r>
        <w:rPr>
          <w:rFonts w:hint="eastAsia" w:cs="宋体" w:asciiTheme="minorEastAsia" w:hAnsiTheme="minorEastAsia" w:eastAsiaTheme="minorEastAsia"/>
          <w:color w:val="333333"/>
          <w:kern w:val="0"/>
          <w:szCs w:val="21"/>
        </w:rPr>
        <w:t>　关于视同中小企业的其他主体的政府采购扶持政策，由财政部会同有关部门另行规定。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第二十四条</w:t>
      </w:r>
      <w:r>
        <w:rPr>
          <w:rFonts w:hint="eastAsia" w:cs="宋体" w:asciiTheme="minorEastAsia" w:hAnsiTheme="minorEastAsia" w:eastAsiaTheme="minorEastAsia"/>
          <w:color w:val="333333"/>
          <w:kern w:val="0"/>
          <w:szCs w:val="21"/>
        </w:rPr>
        <w:t>　省级财政部门可以会同中小企业主管部门根据本办法的规定制定具体实施办法。</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第二十五条</w:t>
      </w:r>
      <w:r>
        <w:rPr>
          <w:rFonts w:hint="eastAsia" w:cs="宋体" w:asciiTheme="minorEastAsia" w:hAnsiTheme="minorEastAsia" w:eastAsiaTheme="minorEastAsia"/>
          <w:color w:val="333333"/>
          <w:kern w:val="0"/>
          <w:szCs w:val="21"/>
        </w:rPr>
        <w:t>　本办法自2021年1月1日起施行。《财政部 工业和信息化部关于印发〈政府采购促进中小企业发展暂行办法〉的通知》（财库〔2011〕181号）同时废止。</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p>
    <w:p>
      <w:pPr>
        <w:spacing w:line="360" w:lineRule="auto"/>
        <w:rPr>
          <w:rFonts w:asciiTheme="minorEastAsia" w:hAnsiTheme="minorEastAsia" w:eastAsiaTheme="minorEastAsia"/>
          <w:szCs w:val="21"/>
        </w:rPr>
      </w:pPr>
    </w:p>
    <w:p>
      <w:pPr>
        <w:pStyle w:val="4"/>
        <w:spacing w:before="0" w:after="0"/>
      </w:pPr>
      <w:bookmarkStart w:id="110" w:name="_Toc73613645"/>
      <w:bookmarkStart w:id="111" w:name="_Toc73610163"/>
      <w:bookmarkStart w:id="112" w:name="_Toc135293195"/>
      <w:r>
        <w:rPr>
          <w:rFonts w:hint="eastAsia"/>
        </w:rPr>
        <w:t>二、关于印发中小企业划型标准规定的通知</w:t>
      </w:r>
      <w:bookmarkEnd w:id="110"/>
      <w:bookmarkEnd w:id="111"/>
      <w:bookmarkEnd w:id="112"/>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工信部联企业〔2011〕300号</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各省、自治区、直辖市人民政府，国务院各部委、各直属机构及有关单位：</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widowControl/>
        <w:shd w:val="clear" w:color="auto" w:fill="FFFFFF"/>
        <w:spacing w:before="100" w:beforeAutospacing="1" w:after="100" w:afterAutospacing="1" w:line="360" w:lineRule="auto"/>
        <w:jc w:val="righ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工业和信息化部　国家统计局</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国家发展和改革委员会　财政部</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二○一一年六月十八日</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b/>
          <w:bCs/>
          <w:color w:val="000000"/>
          <w:kern w:val="0"/>
        </w:rPr>
        <w:t>中小企业划型标准规定</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一、根据《中华人民共和国中小企业促进法》和《国务院关于进一步促进中小企业发展的若干意见》(国发〔2009〕36号)，制定本规定。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二、中小企业划分为中型、小型、微型三种类型，具体标准根据企业从业人员、营业收入、资产总额等指标，结合行业特点制定。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四、各行业划型标准为：</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（一）农、林、牧、渔业。营业收入20000万元以下的为中小微型企业。其中，营业收入500万元及以上的为中型企业，营业收入50万元及以上的为小型企业，营业收入50万元以下的为微型企业。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（十六）其他未列明行业。从业人员300人以下的为中小微型企业。其中，从业人员100人及以上的为中型企业；从业人员10人及以上的为小型企业；从业人员10人以下的为微型企业。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五、企业类型的划分以统计部门的统计数据为依据。</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六、本规定适用于在中华人民共和国境内依法设立的各类所有制和各种组织形式的企业。个体工商户和本规定以外的行业，参照本规定进行划型。</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八、本规定由工业和信息化部、国家统计局会同有关部门根据《国民经济行业分类》修订情况和企业发展变化情况适时修订。</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九、本规定由工业和信息化部、国家统计局会同有关部门负责解释。</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十、本规定自发布之日起执行，原国家经贸委、原国家计委、财政部和国家统计局2003年颁布的《中小企业标准暂行规定》同时废止。</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p>
    <w:p>
      <w:pPr>
        <w:pStyle w:val="4"/>
        <w:spacing w:before="0" w:after="0"/>
      </w:pPr>
      <w:bookmarkStart w:id="113" w:name="_Toc73613646"/>
      <w:bookmarkStart w:id="114" w:name="_Toc73610164"/>
      <w:bookmarkStart w:id="115" w:name="_Toc135293196"/>
      <w:r>
        <w:rPr>
          <w:rFonts w:hint="eastAsia"/>
        </w:rPr>
        <w:t>三、</w:t>
      </w:r>
      <w:r>
        <w:t>国家统计局关于印发《统计上大中小微型企业划分办法 （2017）》的通知</w:t>
      </w:r>
      <w:bookmarkEnd w:id="113"/>
      <w:bookmarkEnd w:id="114"/>
      <w:bookmarkEnd w:id="115"/>
      <w:r>
        <w:t> </w:t>
      </w: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国统字〔2017〕213号</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4"/>
        <w:spacing w:before="0" w:after="0"/>
      </w:pPr>
      <w:bookmarkStart w:id="116" w:name="_Toc135293197"/>
      <w:bookmarkStart w:id="117" w:name="_Toc73613647"/>
      <w:bookmarkStart w:id="118" w:name="_Toc73610165"/>
      <w:r>
        <w:rPr>
          <w:rFonts w:hint="eastAsia"/>
        </w:rPr>
        <w:t>四、</w:t>
      </w:r>
      <w:r>
        <w:t>财政部 民政部 中国残疾人联合会关于促进残疾人就业 政府采购政策的通知</w:t>
      </w:r>
      <w:bookmarkEnd w:id="116"/>
      <w:bookmarkEnd w:id="117"/>
      <w:bookmarkEnd w:id="118"/>
      <w:r>
        <w:t xml:space="preserve"> </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2017年8月22日</w:t>
      </w:r>
    </w:p>
    <w:p>
      <w:pPr>
        <w:tabs>
          <w:tab w:val="left" w:pos="1875"/>
        </w:tabs>
        <w:rPr>
          <w:rFonts w:ascii="Calibri" w:hAnsi="Calibri"/>
          <w:szCs w:val="22"/>
        </w:rPr>
      </w:pPr>
    </w:p>
    <w:p>
      <w:pPr>
        <w:rPr>
          <w:rFonts w:ascii="Calibri" w:hAnsi="Calibri"/>
          <w:szCs w:val="22"/>
        </w:rPr>
      </w:pPr>
    </w:p>
    <w:p>
      <w:pPr>
        <w:pStyle w:val="4"/>
        <w:spacing w:before="0" w:after="0"/>
      </w:pPr>
      <w:bookmarkStart w:id="119" w:name="_Toc135293198"/>
      <w:r>
        <w:rPr>
          <w:rFonts w:hint="eastAsia"/>
        </w:rPr>
        <w:t>五、财政部 司法部关于政府采购支持监狱企业发展有关问题的通知</w:t>
      </w:r>
      <w:bookmarkEnd w:id="119"/>
      <w:r>
        <w:t xml:space="preserve"> </w:t>
      </w:r>
    </w:p>
    <w:p>
      <w:pPr>
        <w:widowControl/>
        <w:spacing w:line="360" w:lineRule="auto"/>
        <w:jc w:val="center"/>
        <w:rPr>
          <w:rFonts w:cs="宋体" w:asciiTheme="minorEastAsia" w:hAnsiTheme="minorEastAsia" w:eastAsiaTheme="minorEastAsia"/>
          <w:kern w:val="0"/>
          <w:szCs w:val="21"/>
        </w:rPr>
      </w:pP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财库〔2014〕68号</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有关人民团体，中央国家机关政府采购中心，中共中央直属机关采购中心，全国人大机关采购中心，各省、自治区、直辖市、计划单列市财政厅（局）、司法厅（局），新疆生产建设兵团财务局、司法局、监狱管理局：</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w:t>
      </w:r>
      <w:r>
        <w:rPr>
          <w:rFonts w:cs="宋体" w:asciiTheme="minorEastAsia" w:hAnsiTheme="minorEastAsia" w:eastAsiaTheme="minorEastAsia"/>
          <w:kern w:val="0"/>
          <w:szCs w:val="21"/>
        </w:rPr>
        <w:t>[2003]7</w:t>
      </w:r>
      <w:r>
        <w:rPr>
          <w:rFonts w:hint="eastAsia" w:cs="宋体" w:asciiTheme="minorEastAsia" w:hAnsiTheme="minorEastAsia" w:eastAsiaTheme="minorEastAsia"/>
          <w:kern w:val="0"/>
          <w:szCs w:val="21"/>
        </w:rPr>
        <w:t>号）文件精神，发挥政府采购支持监狱企业发展的作用，现就有关事项通知如下：</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二、在政府采购活动中，监狱企业视同小型、微型企业，享受预留份额、评审中价格扣除等政府采购促进中小企业发展的政府采购政策。向监狱企业采购的金额，计入面向中小企业采购的统计数据。</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三、各地区、各部门要积极通过预留采购份额支持监狱企业。有制服采购项目的部门，应加强对政府采购预算和计划编制工作的统筹，预留本部门制服采购项目预算总额的</w:t>
      </w:r>
      <w:r>
        <w:rPr>
          <w:rFonts w:cs="宋体" w:asciiTheme="minorEastAsia" w:hAnsiTheme="minorEastAsia" w:eastAsiaTheme="minorEastAsia"/>
          <w:kern w:val="0"/>
          <w:szCs w:val="21"/>
        </w:rPr>
        <w:t>30%</w:t>
      </w:r>
      <w:r>
        <w:rPr>
          <w:rFonts w:hint="eastAsia" w:cs="宋体" w:asciiTheme="minorEastAsia" w:hAnsiTheme="minorEastAsia" w:eastAsiaTheme="minorEastAsia"/>
          <w:kern w:val="0"/>
          <w:szCs w:val="21"/>
        </w:rPr>
        <w:t>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四、各地区可以结合本地区实际，对监狱企业生产的办公用品、家具用具、车辆维修和提供的保养服务、消防设备等，提出预留份额等政府采购支持措施，加大对监狱企业产品的采购力度。</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pPr>
        <w:widowControl/>
        <w:spacing w:line="360" w:lineRule="auto"/>
        <w:jc w:val="lef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中华人民共和国财政部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中华人民共和国司法部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2014年6月10日</w:t>
      </w:r>
    </w:p>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仿宋"/>
    <w:panose1 w:val="00000000000000000000"/>
    <w:charset w:val="86"/>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ˎ̥">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auto"/>
    <w:pitch w:val="default"/>
    <w:sig w:usb0="00000000" w:usb1="00000000" w:usb2="0000001E" w:usb3="00000000" w:csb0="00040000" w:csb1="00000000"/>
  </w:font>
  <w:font w:name="MS Mincho">
    <w:altName w:val="Yu Gothic UI"/>
    <w:panose1 w:val="02020609040205080304"/>
    <w:charset w:val="80"/>
    <w:family w:val="modern"/>
    <w:pitch w:val="default"/>
    <w:sig w:usb0="00000000" w:usb1="00000000" w:usb2="08000012" w:usb3="00000000" w:csb0="0002009F" w:csb1="00000000"/>
  </w:font>
  <w:font w:name="Segoe UI Symbol">
    <w:panose1 w:val="020B0502040204020203"/>
    <w:charset w:val="00"/>
    <w:family w:val="swiss"/>
    <w:pitch w:val="default"/>
    <w:sig w:usb0="800001E3" w:usb1="1200FFEF" w:usb2="00040000" w:usb3="04000000" w:csb0="00000001" w:csb1="40000000"/>
  </w:font>
  <w:font w:name="Yu Gothic UI">
    <w:panose1 w:val="020B0500000000000000"/>
    <w:charset w:val="80"/>
    <w:family w:val="auto"/>
    <w:pitch w:val="default"/>
    <w:sig w:usb0="E00002FF" w:usb1="2AC7FDFF" w:usb2="00000016" w:usb3="00000000" w:csb0="2002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17</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pPr>
    <w:r>
      <w:rPr>
        <w:rFonts w:hint="eastAsia"/>
      </w:rPr>
      <w:t>项目名称：</w:t>
    </w:r>
    <w:r>
      <w:rPr>
        <w:rFonts w:hint="eastAsia" w:asciiTheme="minorEastAsia" w:hAnsiTheme="minorEastAsia" w:eastAsiaTheme="minorEastAsia"/>
      </w:rPr>
      <w:t xml:space="preserve">制样及质量管理辅助服务项目       </w:t>
    </w:r>
    <w:r>
      <w:rPr>
        <w:rFonts w:hint="eastAsia"/>
      </w:rPr>
      <w:t xml:space="preserve">                                       项目编号：</w:t>
    </w:r>
    <w:r>
      <w:rPr>
        <w:rFonts w:hint="eastAsia" w:asciiTheme="minorEastAsia" w:hAnsiTheme="minorEastAsia" w:eastAsiaTheme="minorEastAsia"/>
      </w:rPr>
      <w:t>SZZZ2024-QC0056</w:t>
    </w:r>
    <w:r>
      <w:tab/>
    </w:r>
  </w:p>
  <w:p>
    <w:pPr>
      <w:pStyle w:val="32"/>
      <w:tabs>
        <w:tab w:val="center" w:pos="4819"/>
        <w:tab w:val="right" w:pos="9638"/>
      </w:tabs>
      <w:jc w:val="left"/>
      <w:rPr>
        <w:u w:val="single"/>
      </w:rPr>
    </w:pPr>
    <w:r>
      <w:rPr>
        <w:rFonts w:hint="eastAsia"/>
        <w:u w:val="single"/>
      </w:rPr>
      <w:t xml:space="preserve">                                                                                                           </w:t>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6"/>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6"/>
      <w:lvlText w:val="%5)"/>
      <w:lvlJc w:val="left"/>
      <w:pPr>
        <w:tabs>
          <w:tab w:val="left" w:pos="2111"/>
        </w:tabs>
        <w:ind w:left="2111" w:hanging="420"/>
      </w:pPr>
    </w:lvl>
    <w:lvl w:ilvl="5" w:tentative="0">
      <w:start w:val="1"/>
      <w:numFmt w:val="lowerRoman"/>
      <w:pStyle w:val="8"/>
      <w:lvlText w:val="%6."/>
      <w:lvlJc w:val="right"/>
      <w:pPr>
        <w:tabs>
          <w:tab w:val="left" w:pos="2531"/>
        </w:tabs>
        <w:ind w:left="2531" w:hanging="420"/>
      </w:pPr>
    </w:lvl>
    <w:lvl w:ilvl="6" w:tentative="0">
      <w:start w:val="1"/>
      <w:numFmt w:val="decimal"/>
      <w:pStyle w:val="9"/>
      <w:lvlText w:val="%7."/>
      <w:lvlJc w:val="left"/>
      <w:pPr>
        <w:tabs>
          <w:tab w:val="left" w:pos="2951"/>
        </w:tabs>
        <w:ind w:left="2951" w:hanging="420"/>
      </w:pPr>
    </w:lvl>
    <w:lvl w:ilvl="7" w:tentative="0">
      <w:start w:val="1"/>
      <w:numFmt w:val="lowerLetter"/>
      <w:pStyle w:val="10"/>
      <w:lvlText w:val="%8)"/>
      <w:lvlJc w:val="left"/>
      <w:pPr>
        <w:tabs>
          <w:tab w:val="left" w:pos="3371"/>
        </w:tabs>
        <w:ind w:left="3371" w:hanging="420"/>
      </w:pPr>
    </w:lvl>
    <w:lvl w:ilvl="8" w:tentative="0">
      <w:start w:val="1"/>
      <w:numFmt w:val="lowerRoman"/>
      <w:pStyle w:val="11"/>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NiN2JjZGQwODQzNTVmMDg4ZGNmNzRhYmJlZDY2YTUifQ=="/>
    <w:docVar w:name="KSO_WPS_MARK_KEY" w:val="79bf3387-fe5b-4970-822c-50cd05f3103b"/>
  </w:docVars>
  <w:rsids>
    <w:rsidRoot w:val="00172A27"/>
    <w:rsid w:val="0000134D"/>
    <w:rsid w:val="00001626"/>
    <w:rsid w:val="00001F1C"/>
    <w:rsid w:val="000036D6"/>
    <w:rsid w:val="00003A46"/>
    <w:rsid w:val="00003BA8"/>
    <w:rsid w:val="000040F9"/>
    <w:rsid w:val="000042A3"/>
    <w:rsid w:val="000045B3"/>
    <w:rsid w:val="00004906"/>
    <w:rsid w:val="00004AF7"/>
    <w:rsid w:val="00004FC4"/>
    <w:rsid w:val="00005751"/>
    <w:rsid w:val="00005C27"/>
    <w:rsid w:val="000060E5"/>
    <w:rsid w:val="0000670A"/>
    <w:rsid w:val="00006922"/>
    <w:rsid w:val="00006E2A"/>
    <w:rsid w:val="000074B0"/>
    <w:rsid w:val="000079C5"/>
    <w:rsid w:val="00007EA1"/>
    <w:rsid w:val="000103E3"/>
    <w:rsid w:val="00010B8D"/>
    <w:rsid w:val="00010DC3"/>
    <w:rsid w:val="00011A45"/>
    <w:rsid w:val="00011A56"/>
    <w:rsid w:val="00011AAF"/>
    <w:rsid w:val="00012297"/>
    <w:rsid w:val="00012816"/>
    <w:rsid w:val="00012A6E"/>
    <w:rsid w:val="00012BC4"/>
    <w:rsid w:val="00012F7F"/>
    <w:rsid w:val="00012F81"/>
    <w:rsid w:val="00014515"/>
    <w:rsid w:val="000145C2"/>
    <w:rsid w:val="00014625"/>
    <w:rsid w:val="000149C6"/>
    <w:rsid w:val="00014DBB"/>
    <w:rsid w:val="00015940"/>
    <w:rsid w:val="00015AF5"/>
    <w:rsid w:val="00016458"/>
    <w:rsid w:val="000165EF"/>
    <w:rsid w:val="00016FC3"/>
    <w:rsid w:val="0001728F"/>
    <w:rsid w:val="00017340"/>
    <w:rsid w:val="000208F8"/>
    <w:rsid w:val="00021304"/>
    <w:rsid w:val="0002197F"/>
    <w:rsid w:val="00022C27"/>
    <w:rsid w:val="00022F4F"/>
    <w:rsid w:val="00022FA9"/>
    <w:rsid w:val="000237EE"/>
    <w:rsid w:val="00023830"/>
    <w:rsid w:val="000243D2"/>
    <w:rsid w:val="00025058"/>
    <w:rsid w:val="00025B21"/>
    <w:rsid w:val="00025D5B"/>
    <w:rsid w:val="00026249"/>
    <w:rsid w:val="00027415"/>
    <w:rsid w:val="000274F7"/>
    <w:rsid w:val="00027757"/>
    <w:rsid w:val="000307C5"/>
    <w:rsid w:val="00030D77"/>
    <w:rsid w:val="00031732"/>
    <w:rsid w:val="00031887"/>
    <w:rsid w:val="000319D1"/>
    <w:rsid w:val="00034043"/>
    <w:rsid w:val="0003479B"/>
    <w:rsid w:val="00034900"/>
    <w:rsid w:val="0003493D"/>
    <w:rsid w:val="0003524E"/>
    <w:rsid w:val="00035640"/>
    <w:rsid w:val="000356F7"/>
    <w:rsid w:val="00035FE0"/>
    <w:rsid w:val="000367ED"/>
    <w:rsid w:val="0003688B"/>
    <w:rsid w:val="000372E9"/>
    <w:rsid w:val="00037359"/>
    <w:rsid w:val="0003762A"/>
    <w:rsid w:val="0003795A"/>
    <w:rsid w:val="00040DA4"/>
    <w:rsid w:val="00042758"/>
    <w:rsid w:val="00043D2B"/>
    <w:rsid w:val="000440D8"/>
    <w:rsid w:val="000442CB"/>
    <w:rsid w:val="000447F6"/>
    <w:rsid w:val="000456B0"/>
    <w:rsid w:val="00045923"/>
    <w:rsid w:val="00045EB5"/>
    <w:rsid w:val="00046595"/>
    <w:rsid w:val="00046998"/>
    <w:rsid w:val="0004741F"/>
    <w:rsid w:val="00047612"/>
    <w:rsid w:val="00047852"/>
    <w:rsid w:val="00050F73"/>
    <w:rsid w:val="00051378"/>
    <w:rsid w:val="0005271F"/>
    <w:rsid w:val="000529DE"/>
    <w:rsid w:val="00053074"/>
    <w:rsid w:val="00053F8F"/>
    <w:rsid w:val="0005402F"/>
    <w:rsid w:val="000545F7"/>
    <w:rsid w:val="00054837"/>
    <w:rsid w:val="000550A3"/>
    <w:rsid w:val="0005526E"/>
    <w:rsid w:val="000558BB"/>
    <w:rsid w:val="000559C9"/>
    <w:rsid w:val="00055C5F"/>
    <w:rsid w:val="00056061"/>
    <w:rsid w:val="00056374"/>
    <w:rsid w:val="0005650D"/>
    <w:rsid w:val="00056617"/>
    <w:rsid w:val="00057655"/>
    <w:rsid w:val="00057EEA"/>
    <w:rsid w:val="00060526"/>
    <w:rsid w:val="00061C10"/>
    <w:rsid w:val="000621B0"/>
    <w:rsid w:val="00062570"/>
    <w:rsid w:val="0006264D"/>
    <w:rsid w:val="0006301D"/>
    <w:rsid w:val="00063DDC"/>
    <w:rsid w:val="00064787"/>
    <w:rsid w:val="00064A61"/>
    <w:rsid w:val="00064FA4"/>
    <w:rsid w:val="00065240"/>
    <w:rsid w:val="00065967"/>
    <w:rsid w:val="00066813"/>
    <w:rsid w:val="000668F4"/>
    <w:rsid w:val="0006745C"/>
    <w:rsid w:val="00067A89"/>
    <w:rsid w:val="00067D3F"/>
    <w:rsid w:val="00067DC4"/>
    <w:rsid w:val="000700C5"/>
    <w:rsid w:val="00070384"/>
    <w:rsid w:val="00071507"/>
    <w:rsid w:val="0007211D"/>
    <w:rsid w:val="00072BD7"/>
    <w:rsid w:val="000730F3"/>
    <w:rsid w:val="00073786"/>
    <w:rsid w:val="00073A35"/>
    <w:rsid w:val="00073B23"/>
    <w:rsid w:val="00073EE2"/>
    <w:rsid w:val="00074554"/>
    <w:rsid w:val="00074BEF"/>
    <w:rsid w:val="00075AD5"/>
    <w:rsid w:val="00077941"/>
    <w:rsid w:val="00077E93"/>
    <w:rsid w:val="00080168"/>
    <w:rsid w:val="00080188"/>
    <w:rsid w:val="00080A90"/>
    <w:rsid w:val="00081B06"/>
    <w:rsid w:val="000820E6"/>
    <w:rsid w:val="000825F6"/>
    <w:rsid w:val="00082956"/>
    <w:rsid w:val="000829FF"/>
    <w:rsid w:val="00082ABE"/>
    <w:rsid w:val="000838FB"/>
    <w:rsid w:val="00083D3F"/>
    <w:rsid w:val="00083E84"/>
    <w:rsid w:val="00084A1B"/>
    <w:rsid w:val="00085134"/>
    <w:rsid w:val="000851F8"/>
    <w:rsid w:val="00085317"/>
    <w:rsid w:val="00085419"/>
    <w:rsid w:val="000855C1"/>
    <w:rsid w:val="00085908"/>
    <w:rsid w:val="0008596C"/>
    <w:rsid w:val="00085DE9"/>
    <w:rsid w:val="00085FFE"/>
    <w:rsid w:val="000861E5"/>
    <w:rsid w:val="000866A3"/>
    <w:rsid w:val="000867FB"/>
    <w:rsid w:val="00086F62"/>
    <w:rsid w:val="000878FF"/>
    <w:rsid w:val="0008796E"/>
    <w:rsid w:val="00090302"/>
    <w:rsid w:val="0009127F"/>
    <w:rsid w:val="0009133A"/>
    <w:rsid w:val="0009145A"/>
    <w:rsid w:val="00091526"/>
    <w:rsid w:val="0009187B"/>
    <w:rsid w:val="00091CAC"/>
    <w:rsid w:val="00092BD5"/>
    <w:rsid w:val="00095198"/>
    <w:rsid w:val="00095806"/>
    <w:rsid w:val="00095F61"/>
    <w:rsid w:val="000965CC"/>
    <w:rsid w:val="00096CE6"/>
    <w:rsid w:val="0009750D"/>
    <w:rsid w:val="00097B04"/>
    <w:rsid w:val="000A0ABE"/>
    <w:rsid w:val="000A0DC0"/>
    <w:rsid w:val="000A1075"/>
    <w:rsid w:val="000A24AF"/>
    <w:rsid w:val="000A274D"/>
    <w:rsid w:val="000A2C52"/>
    <w:rsid w:val="000A2D79"/>
    <w:rsid w:val="000A3358"/>
    <w:rsid w:val="000A4B0E"/>
    <w:rsid w:val="000A530C"/>
    <w:rsid w:val="000A56F0"/>
    <w:rsid w:val="000A584E"/>
    <w:rsid w:val="000A58B9"/>
    <w:rsid w:val="000A5A8E"/>
    <w:rsid w:val="000A5CD4"/>
    <w:rsid w:val="000A6263"/>
    <w:rsid w:val="000A6F16"/>
    <w:rsid w:val="000A7A6C"/>
    <w:rsid w:val="000A7C5A"/>
    <w:rsid w:val="000B0205"/>
    <w:rsid w:val="000B0214"/>
    <w:rsid w:val="000B0817"/>
    <w:rsid w:val="000B0910"/>
    <w:rsid w:val="000B0BAC"/>
    <w:rsid w:val="000B10D9"/>
    <w:rsid w:val="000B1ED2"/>
    <w:rsid w:val="000B20FC"/>
    <w:rsid w:val="000B22EA"/>
    <w:rsid w:val="000B3202"/>
    <w:rsid w:val="000B493E"/>
    <w:rsid w:val="000B4F60"/>
    <w:rsid w:val="000B5B6D"/>
    <w:rsid w:val="000B5CC8"/>
    <w:rsid w:val="000B5DFC"/>
    <w:rsid w:val="000B5E52"/>
    <w:rsid w:val="000B61BF"/>
    <w:rsid w:val="000B620E"/>
    <w:rsid w:val="000B67E1"/>
    <w:rsid w:val="000B6925"/>
    <w:rsid w:val="000C0E15"/>
    <w:rsid w:val="000C1B95"/>
    <w:rsid w:val="000C299D"/>
    <w:rsid w:val="000C344F"/>
    <w:rsid w:val="000C3573"/>
    <w:rsid w:val="000C3B21"/>
    <w:rsid w:val="000C3E67"/>
    <w:rsid w:val="000C428C"/>
    <w:rsid w:val="000C4328"/>
    <w:rsid w:val="000C43F5"/>
    <w:rsid w:val="000C48DA"/>
    <w:rsid w:val="000C605A"/>
    <w:rsid w:val="000C63AE"/>
    <w:rsid w:val="000C6CBF"/>
    <w:rsid w:val="000C712D"/>
    <w:rsid w:val="000C7685"/>
    <w:rsid w:val="000D0769"/>
    <w:rsid w:val="000D0C86"/>
    <w:rsid w:val="000D0C91"/>
    <w:rsid w:val="000D1EAF"/>
    <w:rsid w:val="000D2C8E"/>
    <w:rsid w:val="000D2CA8"/>
    <w:rsid w:val="000D3909"/>
    <w:rsid w:val="000D39D7"/>
    <w:rsid w:val="000D3DAF"/>
    <w:rsid w:val="000D409C"/>
    <w:rsid w:val="000D48D5"/>
    <w:rsid w:val="000D4AF6"/>
    <w:rsid w:val="000D6088"/>
    <w:rsid w:val="000D6977"/>
    <w:rsid w:val="000D6CFF"/>
    <w:rsid w:val="000D6D74"/>
    <w:rsid w:val="000D6F21"/>
    <w:rsid w:val="000D75EC"/>
    <w:rsid w:val="000D7803"/>
    <w:rsid w:val="000D7D8E"/>
    <w:rsid w:val="000D7DC6"/>
    <w:rsid w:val="000E024C"/>
    <w:rsid w:val="000E08FB"/>
    <w:rsid w:val="000E18B0"/>
    <w:rsid w:val="000E1BD5"/>
    <w:rsid w:val="000E214A"/>
    <w:rsid w:val="000E21D9"/>
    <w:rsid w:val="000E2823"/>
    <w:rsid w:val="000E2BF0"/>
    <w:rsid w:val="000E3219"/>
    <w:rsid w:val="000E321B"/>
    <w:rsid w:val="000E3D76"/>
    <w:rsid w:val="000E4186"/>
    <w:rsid w:val="000E52FA"/>
    <w:rsid w:val="000E6437"/>
    <w:rsid w:val="000E64F6"/>
    <w:rsid w:val="000E6981"/>
    <w:rsid w:val="000E6C3B"/>
    <w:rsid w:val="000F06E7"/>
    <w:rsid w:val="000F0B03"/>
    <w:rsid w:val="000F0BDA"/>
    <w:rsid w:val="000F0D6F"/>
    <w:rsid w:val="000F150F"/>
    <w:rsid w:val="000F1E27"/>
    <w:rsid w:val="000F1EDD"/>
    <w:rsid w:val="000F243B"/>
    <w:rsid w:val="000F2773"/>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4A82"/>
    <w:rsid w:val="00114ECC"/>
    <w:rsid w:val="001151A9"/>
    <w:rsid w:val="00115834"/>
    <w:rsid w:val="00115CCC"/>
    <w:rsid w:val="00115E6A"/>
    <w:rsid w:val="0012030F"/>
    <w:rsid w:val="00120AB4"/>
    <w:rsid w:val="00120BE1"/>
    <w:rsid w:val="0012174B"/>
    <w:rsid w:val="00121A55"/>
    <w:rsid w:val="00121B3C"/>
    <w:rsid w:val="00121C20"/>
    <w:rsid w:val="00121DE5"/>
    <w:rsid w:val="00123367"/>
    <w:rsid w:val="00123AC2"/>
    <w:rsid w:val="00123EA6"/>
    <w:rsid w:val="00123F89"/>
    <w:rsid w:val="00124206"/>
    <w:rsid w:val="0012537B"/>
    <w:rsid w:val="0012558C"/>
    <w:rsid w:val="0012714F"/>
    <w:rsid w:val="00127915"/>
    <w:rsid w:val="00130693"/>
    <w:rsid w:val="00130801"/>
    <w:rsid w:val="00130A8C"/>
    <w:rsid w:val="001310AA"/>
    <w:rsid w:val="00132670"/>
    <w:rsid w:val="001328E9"/>
    <w:rsid w:val="00132C2F"/>
    <w:rsid w:val="00133E88"/>
    <w:rsid w:val="00133ECB"/>
    <w:rsid w:val="0013411A"/>
    <w:rsid w:val="001349F3"/>
    <w:rsid w:val="00136615"/>
    <w:rsid w:val="00136BA5"/>
    <w:rsid w:val="00137077"/>
    <w:rsid w:val="00137241"/>
    <w:rsid w:val="00137B1E"/>
    <w:rsid w:val="00137BBA"/>
    <w:rsid w:val="001403D0"/>
    <w:rsid w:val="00140ABE"/>
    <w:rsid w:val="00141229"/>
    <w:rsid w:val="00141E96"/>
    <w:rsid w:val="00142681"/>
    <w:rsid w:val="00142BD9"/>
    <w:rsid w:val="00143392"/>
    <w:rsid w:val="00143510"/>
    <w:rsid w:val="001438E5"/>
    <w:rsid w:val="00143AB1"/>
    <w:rsid w:val="00143D73"/>
    <w:rsid w:val="00143EA2"/>
    <w:rsid w:val="001448C4"/>
    <w:rsid w:val="0014619B"/>
    <w:rsid w:val="001467AB"/>
    <w:rsid w:val="001468DA"/>
    <w:rsid w:val="00146AE2"/>
    <w:rsid w:val="00146D8F"/>
    <w:rsid w:val="00146E88"/>
    <w:rsid w:val="00147B19"/>
    <w:rsid w:val="00150442"/>
    <w:rsid w:val="00150618"/>
    <w:rsid w:val="00150E64"/>
    <w:rsid w:val="00151766"/>
    <w:rsid w:val="0015247A"/>
    <w:rsid w:val="0015249C"/>
    <w:rsid w:val="00152F39"/>
    <w:rsid w:val="00153226"/>
    <w:rsid w:val="00153918"/>
    <w:rsid w:val="001547E1"/>
    <w:rsid w:val="00154DF4"/>
    <w:rsid w:val="00154F74"/>
    <w:rsid w:val="00155460"/>
    <w:rsid w:val="00156E27"/>
    <w:rsid w:val="001570A5"/>
    <w:rsid w:val="001571E8"/>
    <w:rsid w:val="0015749F"/>
    <w:rsid w:val="001579EF"/>
    <w:rsid w:val="00160375"/>
    <w:rsid w:val="00160D4E"/>
    <w:rsid w:val="00160F50"/>
    <w:rsid w:val="001613F8"/>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6F7"/>
    <w:rsid w:val="00167789"/>
    <w:rsid w:val="00167927"/>
    <w:rsid w:val="0017073E"/>
    <w:rsid w:val="00170C17"/>
    <w:rsid w:val="0017173E"/>
    <w:rsid w:val="00171CA3"/>
    <w:rsid w:val="00171E66"/>
    <w:rsid w:val="001722D8"/>
    <w:rsid w:val="00172A27"/>
    <w:rsid w:val="00172AE3"/>
    <w:rsid w:val="00172C34"/>
    <w:rsid w:val="00173149"/>
    <w:rsid w:val="001733BF"/>
    <w:rsid w:val="00173759"/>
    <w:rsid w:val="001739A3"/>
    <w:rsid w:val="00173D26"/>
    <w:rsid w:val="00174B1E"/>
    <w:rsid w:val="001755B2"/>
    <w:rsid w:val="001755E9"/>
    <w:rsid w:val="00175A5E"/>
    <w:rsid w:val="00176553"/>
    <w:rsid w:val="00177212"/>
    <w:rsid w:val="001774D4"/>
    <w:rsid w:val="00177549"/>
    <w:rsid w:val="00177744"/>
    <w:rsid w:val="001778BE"/>
    <w:rsid w:val="00177F89"/>
    <w:rsid w:val="00180B0D"/>
    <w:rsid w:val="00181ADD"/>
    <w:rsid w:val="00181FEA"/>
    <w:rsid w:val="00181FFD"/>
    <w:rsid w:val="00182706"/>
    <w:rsid w:val="0018284B"/>
    <w:rsid w:val="001828B0"/>
    <w:rsid w:val="00183836"/>
    <w:rsid w:val="001845E9"/>
    <w:rsid w:val="00184630"/>
    <w:rsid w:val="001846D7"/>
    <w:rsid w:val="00184815"/>
    <w:rsid w:val="001848F5"/>
    <w:rsid w:val="001850A4"/>
    <w:rsid w:val="001864FF"/>
    <w:rsid w:val="001874BC"/>
    <w:rsid w:val="00187B3E"/>
    <w:rsid w:val="001913BE"/>
    <w:rsid w:val="0019153B"/>
    <w:rsid w:val="001915A3"/>
    <w:rsid w:val="001919EB"/>
    <w:rsid w:val="00191B94"/>
    <w:rsid w:val="00191D89"/>
    <w:rsid w:val="0019227B"/>
    <w:rsid w:val="00192D08"/>
    <w:rsid w:val="0019368B"/>
    <w:rsid w:val="001938D2"/>
    <w:rsid w:val="00193917"/>
    <w:rsid w:val="001941C8"/>
    <w:rsid w:val="00194D59"/>
    <w:rsid w:val="00195B8B"/>
    <w:rsid w:val="00195DCB"/>
    <w:rsid w:val="00195F14"/>
    <w:rsid w:val="001961A2"/>
    <w:rsid w:val="00196787"/>
    <w:rsid w:val="00196B4C"/>
    <w:rsid w:val="001970AD"/>
    <w:rsid w:val="00197204"/>
    <w:rsid w:val="001A173C"/>
    <w:rsid w:val="001A1844"/>
    <w:rsid w:val="001A1998"/>
    <w:rsid w:val="001A1BE9"/>
    <w:rsid w:val="001A20CA"/>
    <w:rsid w:val="001A290D"/>
    <w:rsid w:val="001A2B9F"/>
    <w:rsid w:val="001A3B13"/>
    <w:rsid w:val="001A3CF6"/>
    <w:rsid w:val="001A3EE7"/>
    <w:rsid w:val="001A4360"/>
    <w:rsid w:val="001A4420"/>
    <w:rsid w:val="001A46B5"/>
    <w:rsid w:val="001A46F2"/>
    <w:rsid w:val="001A68EC"/>
    <w:rsid w:val="001A6C49"/>
    <w:rsid w:val="001A7AB7"/>
    <w:rsid w:val="001A7C91"/>
    <w:rsid w:val="001B0220"/>
    <w:rsid w:val="001B0850"/>
    <w:rsid w:val="001B1281"/>
    <w:rsid w:val="001B1D39"/>
    <w:rsid w:val="001B2126"/>
    <w:rsid w:val="001B2329"/>
    <w:rsid w:val="001B23F5"/>
    <w:rsid w:val="001B24E4"/>
    <w:rsid w:val="001B2666"/>
    <w:rsid w:val="001B2909"/>
    <w:rsid w:val="001B2A31"/>
    <w:rsid w:val="001B2D49"/>
    <w:rsid w:val="001B2E91"/>
    <w:rsid w:val="001B5780"/>
    <w:rsid w:val="001B5B42"/>
    <w:rsid w:val="001B606A"/>
    <w:rsid w:val="001B6DDB"/>
    <w:rsid w:val="001B7078"/>
    <w:rsid w:val="001B7491"/>
    <w:rsid w:val="001B75CF"/>
    <w:rsid w:val="001B7A8D"/>
    <w:rsid w:val="001B7EBE"/>
    <w:rsid w:val="001C06C0"/>
    <w:rsid w:val="001C0AC9"/>
    <w:rsid w:val="001C0D5A"/>
    <w:rsid w:val="001C0D97"/>
    <w:rsid w:val="001C10E5"/>
    <w:rsid w:val="001C1A12"/>
    <w:rsid w:val="001C1D46"/>
    <w:rsid w:val="001C1F6C"/>
    <w:rsid w:val="001C21BB"/>
    <w:rsid w:val="001C3000"/>
    <w:rsid w:val="001C30D1"/>
    <w:rsid w:val="001C33D6"/>
    <w:rsid w:val="001C35B7"/>
    <w:rsid w:val="001C36F7"/>
    <w:rsid w:val="001C3AE0"/>
    <w:rsid w:val="001C3BAD"/>
    <w:rsid w:val="001C5F9A"/>
    <w:rsid w:val="001C6ECF"/>
    <w:rsid w:val="001C7E49"/>
    <w:rsid w:val="001D012D"/>
    <w:rsid w:val="001D0702"/>
    <w:rsid w:val="001D0A25"/>
    <w:rsid w:val="001D1078"/>
    <w:rsid w:val="001D1659"/>
    <w:rsid w:val="001D296C"/>
    <w:rsid w:val="001D2E3E"/>
    <w:rsid w:val="001D2E8A"/>
    <w:rsid w:val="001D2F3D"/>
    <w:rsid w:val="001D33C3"/>
    <w:rsid w:val="001D3DED"/>
    <w:rsid w:val="001D3DF8"/>
    <w:rsid w:val="001D3F8A"/>
    <w:rsid w:val="001D4E6F"/>
    <w:rsid w:val="001D5573"/>
    <w:rsid w:val="001D56C8"/>
    <w:rsid w:val="001D5E80"/>
    <w:rsid w:val="001D6356"/>
    <w:rsid w:val="001D6806"/>
    <w:rsid w:val="001D6EC3"/>
    <w:rsid w:val="001D710C"/>
    <w:rsid w:val="001E0886"/>
    <w:rsid w:val="001E11B1"/>
    <w:rsid w:val="001E1B1E"/>
    <w:rsid w:val="001E1C18"/>
    <w:rsid w:val="001E208F"/>
    <w:rsid w:val="001E233C"/>
    <w:rsid w:val="001E4950"/>
    <w:rsid w:val="001E5014"/>
    <w:rsid w:val="001E630A"/>
    <w:rsid w:val="001E6C11"/>
    <w:rsid w:val="001E7838"/>
    <w:rsid w:val="001E7A22"/>
    <w:rsid w:val="001E7D19"/>
    <w:rsid w:val="001F0C50"/>
    <w:rsid w:val="001F0CFA"/>
    <w:rsid w:val="001F0ECC"/>
    <w:rsid w:val="001F1464"/>
    <w:rsid w:val="001F1897"/>
    <w:rsid w:val="001F1905"/>
    <w:rsid w:val="001F1EAE"/>
    <w:rsid w:val="001F1F7F"/>
    <w:rsid w:val="001F26A0"/>
    <w:rsid w:val="001F2C63"/>
    <w:rsid w:val="001F2E14"/>
    <w:rsid w:val="001F37E0"/>
    <w:rsid w:val="001F3A0C"/>
    <w:rsid w:val="001F3E7F"/>
    <w:rsid w:val="001F401A"/>
    <w:rsid w:val="001F4A76"/>
    <w:rsid w:val="001F4F4A"/>
    <w:rsid w:val="001F534F"/>
    <w:rsid w:val="001F543D"/>
    <w:rsid w:val="001F56BD"/>
    <w:rsid w:val="001F5813"/>
    <w:rsid w:val="001F5989"/>
    <w:rsid w:val="001F64C1"/>
    <w:rsid w:val="001F6CB0"/>
    <w:rsid w:val="002001F1"/>
    <w:rsid w:val="00201348"/>
    <w:rsid w:val="00201A4E"/>
    <w:rsid w:val="00201B37"/>
    <w:rsid w:val="00201C8A"/>
    <w:rsid w:val="00202525"/>
    <w:rsid w:val="00202B43"/>
    <w:rsid w:val="002035A2"/>
    <w:rsid w:val="00203787"/>
    <w:rsid w:val="00203887"/>
    <w:rsid w:val="002046D6"/>
    <w:rsid w:val="00204D09"/>
    <w:rsid w:val="00204F5C"/>
    <w:rsid w:val="00205C71"/>
    <w:rsid w:val="00206815"/>
    <w:rsid w:val="002070C1"/>
    <w:rsid w:val="0020717B"/>
    <w:rsid w:val="00207262"/>
    <w:rsid w:val="00207468"/>
    <w:rsid w:val="00207844"/>
    <w:rsid w:val="00210436"/>
    <w:rsid w:val="0021043B"/>
    <w:rsid w:val="00210440"/>
    <w:rsid w:val="0021054E"/>
    <w:rsid w:val="0021095C"/>
    <w:rsid w:val="002109AA"/>
    <w:rsid w:val="00210AC5"/>
    <w:rsid w:val="00210E7E"/>
    <w:rsid w:val="00211084"/>
    <w:rsid w:val="00211254"/>
    <w:rsid w:val="002122AD"/>
    <w:rsid w:val="0021299B"/>
    <w:rsid w:val="002139CD"/>
    <w:rsid w:val="00213E88"/>
    <w:rsid w:val="00214801"/>
    <w:rsid w:val="00214C22"/>
    <w:rsid w:val="00214C4A"/>
    <w:rsid w:val="00214FDD"/>
    <w:rsid w:val="0021647A"/>
    <w:rsid w:val="00216DB2"/>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AED"/>
    <w:rsid w:val="00223BB4"/>
    <w:rsid w:val="00223DBF"/>
    <w:rsid w:val="00223FB6"/>
    <w:rsid w:val="0022435D"/>
    <w:rsid w:val="0022442C"/>
    <w:rsid w:val="002245B1"/>
    <w:rsid w:val="00224A1D"/>
    <w:rsid w:val="00224BA5"/>
    <w:rsid w:val="00225340"/>
    <w:rsid w:val="002259D7"/>
    <w:rsid w:val="00225E69"/>
    <w:rsid w:val="002269FF"/>
    <w:rsid w:val="002274F2"/>
    <w:rsid w:val="00227BE4"/>
    <w:rsid w:val="002303B3"/>
    <w:rsid w:val="00230D0C"/>
    <w:rsid w:val="00230EA4"/>
    <w:rsid w:val="0023207C"/>
    <w:rsid w:val="0023316C"/>
    <w:rsid w:val="00233EA8"/>
    <w:rsid w:val="00233EE9"/>
    <w:rsid w:val="002344D9"/>
    <w:rsid w:val="00235237"/>
    <w:rsid w:val="002356F7"/>
    <w:rsid w:val="0023573C"/>
    <w:rsid w:val="00235CCD"/>
    <w:rsid w:val="0023602F"/>
    <w:rsid w:val="00236048"/>
    <w:rsid w:val="002362ED"/>
    <w:rsid w:val="00237036"/>
    <w:rsid w:val="002372AC"/>
    <w:rsid w:val="00237588"/>
    <w:rsid w:val="002375DA"/>
    <w:rsid w:val="00237A33"/>
    <w:rsid w:val="00237F7F"/>
    <w:rsid w:val="002402E8"/>
    <w:rsid w:val="002405DB"/>
    <w:rsid w:val="00240B0F"/>
    <w:rsid w:val="00240CF2"/>
    <w:rsid w:val="00240E54"/>
    <w:rsid w:val="00241314"/>
    <w:rsid w:val="00241BD9"/>
    <w:rsid w:val="0024238B"/>
    <w:rsid w:val="00242B67"/>
    <w:rsid w:val="00243381"/>
    <w:rsid w:val="00243756"/>
    <w:rsid w:val="00243EFD"/>
    <w:rsid w:val="002442A5"/>
    <w:rsid w:val="00244AF3"/>
    <w:rsid w:val="00244B2D"/>
    <w:rsid w:val="00244EF8"/>
    <w:rsid w:val="00244EFB"/>
    <w:rsid w:val="00245008"/>
    <w:rsid w:val="002451ED"/>
    <w:rsid w:val="002458E4"/>
    <w:rsid w:val="00245900"/>
    <w:rsid w:val="00245DD8"/>
    <w:rsid w:val="0024757C"/>
    <w:rsid w:val="002506EE"/>
    <w:rsid w:val="00250E42"/>
    <w:rsid w:val="00250E89"/>
    <w:rsid w:val="0025197E"/>
    <w:rsid w:val="00252912"/>
    <w:rsid w:val="00252D49"/>
    <w:rsid w:val="00253956"/>
    <w:rsid w:val="00253C51"/>
    <w:rsid w:val="002548D3"/>
    <w:rsid w:val="00254E85"/>
    <w:rsid w:val="0025568B"/>
    <w:rsid w:val="00255E94"/>
    <w:rsid w:val="002561B7"/>
    <w:rsid w:val="002562F6"/>
    <w:rsid w:val="00256EDB"/>
    <w:rsid w:val="00256FEA"/>
    <w:rsid w:val="00257131"/>
    <w:rsid w:val="00257314"/>
    <w:rsid w:val="0025733E"/>
    <w:rsid w:val="00257590"/>
    <w:rsid w:val="00257882"/>
    <w:rsid w:val="00257F6B"/>
    <w:rsid w:val="00260C4E"/>
    <w:rsid w:val="0026110D"/>
    <w:rsid w:val="00261B4C"/>
    <w:rsid w:val="00261C50"/>
    <w:rsid w:val="00261C71"/>
    <w:rsid w:val="00261E06"/>
    <w:rsid w:val="0026249A"/>
    <w:rsid w:val="002625B4"/>
    <w:rsid w:val="00263090"/>
    <w:rsid w:val="00263146"/>
    <w:rsid w:val="00264D98"/>
    <w:rsid w:val="00265054"/>
    <w:rsid w:val="0026523F"/>
    <w:rsid w:val="002657D5"/>
    <w:rsid w:val="00265EBC"/>
    <w:rsid w:val="0026696D"/>
    <w:rsid w:val="00266BE6"/>
    <w:rsid w:val="00267127"/>
    <w:rsid w:val="00267325"/>
    <w:rsid w:val="002674F1"/>
    <w:rsid w:val="00267935"/>
    <w:rsid w:val="00270B8F"/>
    <w:rsid w:val="00270E73"/>
    <w:rsid w:val="00271B39"/>
    <w:rsid w:val="00271C92"/>
    <w:rsid w:val="0027280E"/>
    <w:rsid w:val="0027293A"/>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1ECB"/>
    <w:rsid w:val="0028242D"/>
    <w:rsid w:val="002829C0"/>
    <w:rsid w:val="00282D45"/>
    <w:rsid w:val="00283253"/>
    <w:rsid w:val="0028362C"/>
    <w:rsid w:val="002836C6"/>
    <w:rsid w:val="00284442"/>
    <w:rsid w:val="0028615B"/>
    <w:rsid w:val="00286DFC"/>
    <w:rsid w:val="00287102"/>
    <w:rsid w:val="00290002"/>
    <w:rsid w:val="0029069C"/>
    <w:rsid w:val="00291560"/>
    <w:rsid w:val="00291AF5"/>
    <w:rsid w:val="0029244F"/>
    <w:rsid w:val="00293B82"/>
    <w:rsid w:val="00293DA4"/>
    <w:rsid w:val="002965D8"/>
    <w:rsid w:val="0029715E"/>
    <w:rsid w:val="002A00F2"/>
    <w:rsid w:val="002A0381"/>
    <w:rsid w:val="002A0425"/>
    <w:rsid w:val="002A0651"/>
    <w:rsid w:val="002A06BD"/>
    <w:rsid w:val="002A11FB"/>
    <w:rsid w:val="002A120C"/>
    <w:rsid w:val="002A1715"/>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2D8"/>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411"/>
    <w:rsid w:val="002C55AB"/>
    <w:rsid w:val="002C588A"/>
    <w:rsid w:val="002C5EEF"/>
    <w:rsid w:val="002C6527"/>
    <w:rsid w:val="002C7D71"/>
    <w:rsid w:val="002D0724"/>
    <w:rsid w:val="002D13DF"/>
    <w:rsid w:val="002D2936"/>
    <w:rsid w:val="002D3B6B"/>
    <w:rsid w:val="002D41A4"/>
    <w:rsid w:val="002D603D"/>
    <w:rsid w:val="002D62E1"/>
    <w:rsid w:val="002E00AD"/>
    <w:rsid w:val="002E032F"/>
    <w:rsid w:val="002E075F"/>
    <w:rsid w:val="002E08C1"/>
    <w:rsid w:val="002E0B56"/>
    <w:rsid w:val="002E0B5D"/>
    <w:rsid w:val="002E1192"/>
    <w:rsid w:val="002E1650"/>
    <w:rsid w:val="002E1ABF"/>
    <w:rsid w:val="002E1DA6"/>
    <w:rsid w:val="002E1FD4"/>
    <w:rsid w:val="002E2087"/>
    <w:rsid w:val="002E214F"/>
    <w:rsid w:val="002E24BD"/>
    <w:rsid w:val="002E3C98"/>
    <w:rsid w:val="002E4485"/>
    <w:rsid w:val="002E4681"/>
    <w:rsid w:val="002E4D51"/>
    <w:rsid w:val="002E5619"/>
    <w:rsid w:val="002E57C9"/>
    <w:rsid w:val="002E6136"/>
    <w:rsid w:val="002E6371"/>
    <w:rsid w:val="002E6A58"/>
    <w:rsid w:val="002E6D98"/>
    <w:rsid w:val="002E7881"/>
    <w:rsid w:val="002E7975"/>
    <w:rsid w:val="002E7A31"/>
    <w:rsid w:val="002F01F2"/>
    <w:rsid w:val="002F068A"/>
    <w:rsid w:val="002F11D5"/>
    <w:rsid w:val="002F1A62"/>
    <w:rsid w:val="002F21EF"/>
    <w:rsid w:val="002F2741"/>
    <w:rsid w:val="002F2B63"/>
    <w:rsid w:val="002F3765"/>
    <w:rsid w:val="002F3F28"/>
    <w:rsid w:val="002F44A0"/>
    <w:rsid w:val="002F471C"/>
    <w:rsid w:val="002F496A"/>
    <w:rsid w:val="002F4F44"/>
    <w:rsid w:val="002F50DA"/>
    <w:rsid w:val="002F56B1"/>
    <w:rsid w:val="002F584B"/>
    <w:rsid w:val="002F5EEE"/>
    <w:rsid w:val="002F5FC3"/>
    <w:rsid w:val="002F6EF2"/>
    <w:rsid w:val="002F79E2"/>
    <w:rsid w:val="002F7D39"/>
    <w:rsid w:val="002F7E8D"/>
    <w:rsid w:val="00301475"/>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0EC0"/>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BF3"/>
    <w:rsid w:val="00321CC1"/>
    <w:rsid w:val="0032244E"/>
    <w:rsid w:val="00323373"/>
    <w:rsid w:val="003242E5"/>
    <w:rsid w:val="00324DD8"/>
    <w:rsid w:val="00324EC6"/>
    <w:rsid w:val="003256E0"/>
    <w:rsid w:val="00325E6C"/>
    <w:rsid w:val="003261AE"/>
    <w:rsid w:val="00326A13"/>
    <w:rsid w:val="00327114"/>
    <w:rsid w:val="00327B3E"/>
    <w:rsid w:val="00327EA3"/>
    <w:rsid w:val="00332227"/>
    <w:rsid w:val="00332486"/>
    <w:rsid w:val="00333097"/>
    <w:rsid w:val="0033321A"/>
    <w:rsid w:val="00333612"/>
    <w:rsid w:val="00333676"/>
    <w:rsid w:val="003336FD"/>
    <w:rsid w:val="00333A02"/>
    <w:rsid w:val="00333D3B"/>
    <w:rsid w:val="00333E4C"/>
    <w:rsid w:val="00334224"/>
    <w:rsid w:val="0033425B"/>
    <w:rsid w:val="003342F6"/>
    <w:rsid w:val="00334680"/>
    <w:rsid w:val="00334969"/>
    <w:rsid w:val="003350A3"/>
    <w:rsid w:val="0033586C"/>
    <w:rsid w:val="00335EFB"/>
    <w:rsid w:val="003364B8"/>
    <w:rsid w:val="003364EB"/>
    <w:rsid w:val="00336ACB"/>
    <w:rsid w:val="003370F4"/>
    <w:rsid w:val="003374CB"/>
    <w:rsid w:val="00337D7C"/>
    <w:rsid w:val="00340445"/>
    <w:rsid w:val="003425A6"/>
    <w:rsid w:val="00342A4E"/>
    <w:rsid w:val="00342BAE"/>
    <w:rsid w:val="003431F0"/>
    <w:rsid w:val="00343ACE"/>
    <w:rsid w:val="00344388"/>
    <w:rsid w:val="0034484F"/>
    <w:rsid w:val="00345AD6"/>
    <w:rsid w:val="00345E2A"/>
    <w:rsid w:val="00345F25"/>
    <w:rsid w:val="00346772"/>
    <w:rsid w:val="00346E05"/>
    <w:rsid w:val="00347EED"/>
    <w:rsid w:val="003514C0"/>
    <w:rsid w:val="00351F42"/>
    <w:rsid w:val="00352BC1"/>
    <w:rsid w:val="00352F19"/>
    <w:rsid w:val="003536EE"/>
    <w:rsid w:val="00353939"/>
    <w:rsid w:val="00354FA4"/>
    <w:rsid w:val="00355855"/>
    <w:rsid w:val="0035600D"/>
    <w:rsid w:val="00356902"/>
    <w:rsid w:val="003571E8"/>
    <w:rsid w:val="00357CBA"/>
    <w:rsid w:val="003602AF"/>
    <w:rsid w:val="003619E8"/>
    <w:rsid w:val="00361FC9"/>
    <w:rsid w:val="00363CCB"/>
    <w:rsid w:val="003640EA"/>
    <w:rsid w:val="003642A2"/>
    <w:rsid w:val="003646C5"/>
    <w:rsid w:val="00365006"/>
    <w:rsid w:val="00365258"/>
    <w:rsid w:val="003653AC"/>
    <w:rsid w:val="00365ABF"/>
    <w:rsid w:val="003669D1"/>
    <w:rsid w:val="00366FA8"/>
    <w:rsid w:val="003675A2"/>
    <w:rsid w:val="0036774E"/>
    <w:rsid w:val="0037017C"/>
    <w:rsid w:val="003703D0"/>
    <w:rsid w:val="003706B3"/>
    <w:rsid w:val="003709F9"/>
    <w:rsid w:val="00372447"/>
    <w:rsid w:val="00372522"/>
    <w:rsid w:val="003728C9"/>
    <w:rsid w:val="00373353"/>
    <w:rsid w:val="00373923"/>
    <w:rsid w:val="003744B5"/>
    <w:rsid w:val="003745F2"/>
    <w:rsid w:val="00374BA5"/>
    <w:rsid w:val="00374BB4"/>
    <w:rsid w:val="003756AA"/>
    <w:rsid w:val="00376309"/>
    <w:rsid w:val="00376E0D"/>
    <w:rsid w:val="003773D2"/>
    <w:rsid w:val="00377B2A"/>
    <w:rsid w:val="00377D0B"/>
    <w:rsid w:val="003805AC"/>
    <w:rsid w:val="0038079C"/>
    <w:rsid w:val="00380AE6"/>
    <w:rsid w:val="00381308"/>
    <w:rsid w:val="00381408"/>
    <w:rsid w:val="003814E4"/>
    <w:rsid w:val="00381578"/>
    <w:rsid w:val="003824ED"/>
    <w:rsid w:val="0038250A"/>
    <w:rsid w:val="00382561"/>
    <w:rsid w:val="00382B9E"/>
    <w:rsid w:val="00382C17"/>
    <w:rsid w:val="0038312C"/>
    <w:rsid w:val="0038318E"/>
    <w:rsid w:val="0038436C"/>
    <w:rsid w:val="003843EC"/>
    <w:rsid w:val="003847A5"/>
    <w:rsid w:val="00385229"/>
    <w:rsid w:val="003853E7"/>
    <w:rsid w:val="00385433"/>
    <w:rsid w:val="00387884"/>
    <w:rsid w:val="00387F66"/>
    <w:rsid w:val="0039022F"/>
    <w:rsid w:val="0039048F"/>
    <w:rsid w:val="003909DB"/>
    <w:rsid w:val="00390AD5"/>
    <w:rsid w:val="00391069"/>
    <w:rsid w:val="00391591"/>
    <w:rsid w:val="003919DA"/>
    <w:rsid w:val="00391BFD"/>
    <w:rsid w:val="003922FE"/>
    <w:rsid w:val="00392999"/>
    <w:rsid w:val="00392B88"/>
    <w:rsid w:val="00392CF1"/>
    <w:rsid w:val="00393028"/>
    <w:rsid w:val="0039313E"/>
    <w:rsid w:val="003934F9"/>
    <w:rsid w:val="00393AB1"/>
    <w:rsid w:val="00394848"/>
    <w:rsid w:val="00394A73"/>
    <w:rsid w:val="00394CBF"/>
    <w:rsid w:val="00394D1B"/>
    <w:rsid w:val="00394EA1"/>
    <w:rsid w:val="00395AE1"/>
    <w:rsid w:val="00395F33"/>
    <w:rsid w:val="003960EC"/>
    <w:rsid w:val="00396982"/>
    <w:rsid w:val="00396A2D"/>
    <w:rsid w:val="0039729C"/>
    <w:rsid w:val="00397BFA"/>
    <w:rsid w:val="003A03CE"/>
    <w:rsid w:val="003A0BE4"/>
    <w:rsid w:val="003A1771"/>
    <w:rsid w:val="003A1D06"/>
    <w:rsid w:val="003A1F30"/>
    <w:rsid w:val="003A236B"/>
    <w:rsid w:val="003A268D"/>
    <w:rsid w:val="003A2908"/>
    <w:rsid w:val="003A347A"/>
    <w:rsid w:val="003A3C39"/>
    <w:rsid w:val="003A3CAC"/>
    <w:rsid w:val="003A4065"/>
    <w:rsid w:val="003A407A"/>
    <w:rsid w:val="003A44F3"/>
    <w:rsid w:val="003A505C"/>
    <w:rsid w:val="003A574F"/>
    <w:rsid w:val="003A58D0"/>
    <w:rsid w:val="003A6FDB"/>
    <w:rsid w:val="003B016F"/>
    <w:rsid w:val="003B01FA"/>
    <w:rsid w:val="003B0A1B"/>
    <w:rsid w:val="003B0DE7"/>
    <w:rsid w:val="003B1B85"/>
    <w:rsid w:val="003B20E9"/>
    <w:rsid w:val="003B2926"/>
    <w:rsid w:val="003B3713"/>
    <w:rsid w:val="003B3AA5"/>
    <w:rsid w:val="003B445F"/>
    <w:rsid w:val="003B4982"/>
    <w:rsid w:val="003B4B46"/>
    <w:rsid w:val="003B4DF0"/>
    <w:rsid w:val="003B5C4E"/>
    <w:rsid w:val="003B65AB"/>
    <w:rsid w:val="003B6CFD"/>
    <w:rsid w:val="003B7115"/>
    <w:rsid w:val="003B7B4E"/>
    <w:rsid w:val="003B7D23"/>
    <w:rsid w:val="003C0C16"/>
    <w:rsid w:val="003C121F"/>
    <w:rsid w:val="003C1C09"/>
    <w:rsid w:val="003C1F0B"/>
    <w:rsid w:val="003C2E11"/>
    <w:rsid w:val="003C3323"/>
    <w:rsid w:val="003C3359"/>
    <w:rsid w:val="003C3B63"/>
    <w:rsid w:val="003C3E94"/>
    <w:rsid w:val="003C44A5"/>
    <w:rsid w:val="003C4544"/>
    <w:rsid w:val="003C488F"/>
    <w:rsid w:val="003C4DA4"/>
    <w:rsid w:val="003C4E2E"/>
    <w:rsid w:val="003C5286"/>
    <w:rsid w:val="003C542A"/>
    <w:rsid w:val="003C57AA"/>
    <w:rsid w:val="003C5B59"/>
    <w:rsid w:val="003C63D8"/>
    <w:rsid w:val="003D06D4"/>
    <w:rsid w:val="003D1034"/>
    <w:rsid w:val="003D16D0"/>
    <w:rsid w:val="003D27FB"/>
    <w:rsid w:val="003D3FDB"/>
    <w:rsid w:val="003D482D"/>
    <w:rsid w:val="003D53DC"/>
    <w:rsid w:val="003D54FA"/>
    <w:rsid w:val="003D589A"/>
    <w:rsid w:val="003D5A2F"/>
    <w:rsid w:val="003D6826"/>
    <w:rsid w:val="003D6E2F"/>
    <w:rsid w:val="003D7964"/>
    <w:rsid w:val="003D7BA8"/>
    <w:rsid w:val="003D7E59"/>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D0D"/>
    <w:rsid w:val="003F1213"/>
    <w:rsid w:val="003F179E"/>
    <w:rsid w:val="003F1823"/>
    <w:rsid w:val="003F1DDF"/>
    <w:rsid w:val="003F1F28"/>
    <w:rsid w:val="003F2D6E"/>
    <w:rsid w:val="003F2ED7"/>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840"/>
    <w:rsid w:val="00402AB6"/>
    <w:rsid w:val="00402FEE"/>
    <w:rsid w:val="004030E9"/>
    <w:rsid w:val="004035B9"/>
    <w:rsid w:val="00403BC3"/>
    <w:rsid w:val="00403DA9"/>
    <w:rsid w:val="004041EF"/>
    <w:rsid w:val="00404F25"/>
    <w:rsid w:val="00405A2A"/>
    <w:rsid w:val="00405AF2"/>
    <w:rsid w:val="00405C91"/>
    <w:rsid w:val="00405E73"/>
    <w:rsid w:val="00405FD0"/>
    <w:rsid w:val="004061A4"/>
    <w:rsid w:val="004061E0"/>
    <w:rsid w:val="0040632D"/>
    <w:rsid w:val="00406AED"/>
    <w:rsid w:val="00407B04"/>
    <w:rsid w:val="00407BC7"/>
    <w:rsid w:val="004101C5"/>
    <w:rsid w:val="004103C4"/>
    <w:rsid w:val="00410BE7"/>
    <w:rsid w:val="00410D26"/>
    <w:rsid w:val="0041105B"/>
    <w:rsid w:val="004110C4"/>
    <w:rsid w:val="004124E8"/>
    <w:rsid w:val="00412773"/>
    <w:rsid w:val="0041311B"/>
    <w:rsid w:val="00413625"/>
    <w:rsid w:val="00413998"/>
    <w:rsid w:val="00413BFD"/>
    <w:rsid w:val="00413DFF"/>
    <w:rsid w:val="00414A4F"/>
    <w:rsid w:val="00415756"/>
    <w:rsid w:val="00415B9C"/>
    <w:rsid w:val="004166CA"/>
    <w:rsid w:val="0041688D"/>
    <w:rsid w:val="004168DB"/>
    <w:rsid w:val="00416970"/>
    <w:rsid w:val="00416A9F"/>
    <w:rsid w:val="004170BB"/>
    <w:rsid w:val="00417D63"/>
    <w:rsid w:val="004201B7"/>
    <w:rsid w:val="00421FC0"/>
    <w:rsid w:val="00422A18"/>
    <w:rsid w:val="00422B01"/>
    <w:rsid w:val="00423668"/>
    <w:rsid w:val="00423C36"/>
    <w:rsid w:val="004242E7"/>
    <w:rsid w:val="00424451"/>
    <w:rsid w:val="00424697"/>
    <w:rsid w:val="00424B8A"/>
    <w:rsid w:val="004257A4"/>
    <w:rsid w:val="00425A62"/>
    <w:rsid w:val="00425BEB"/>
    <w:rsid w:val="00425DDC"/>
    <w:rsid w:val="00426433"/>
    <w:rsid w:val="00426BE7"/>
    <w:rsid w:val="0042701A"/>
    <w:rsid w:val="00427369"/>
    <w:rsid w:val="00427383"/>
    <w:rsid w:val="00427BF1"/>
    <w:rsid w:val="004304D3"/>
    <w:rsid w:val="00430640"/>
    <w:rsid w:val="00430E30"/>
    <w:rsid w:val="00431315"/>
    <w:rsid w:val="00431CAB"/>
    <w:rsid w:val="00432122"/>
    <w:rsid w:val="00433A29"/>
    <w:rsid w:val="004342A5"/>
    <w:rsid w:val="00435338"/>
    <w:rsid w:val="0043621F"/>
    <w:rsid w:val="00436852"/>
    <w:rsid w:val="00436AF4"/>
    <w:rsid w:val="00436D58"/>
    <w:rsid w:val="00437998"/>
    <w:rsid w:val="004379D3"/>
    <w:rsid w:val="004406D0"/>
    <w:rsid w:val="004407FB"/>
    <w:rsid w:val="00441233"/>
    <w:rsid w:val="0044149E"/>
    <w:rsid w:val="00441512"/>
    <w:rsid w:val="00441873"/>
    <w:rsid w:val="00441F5D"/>
    <w:rsid w:val="00442241"/>
    <w:rsid w:val="004423C3"/>
    <w:rsid w:val="004424D0"/>
    <w:rsid w:val="00442D09"/>
    <w:rsid w:val="004434AB"/>
    <w:rsid w:val="00443C8A"/>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5E39"/>
    <w:rsid w:val="004562BC"/>
    <w:rsid w:val="004562F1"/>
    <w:rsid w:val="00456A9B"/>
    <w:rsid w:val="0045708B"/>
    <w:rsid w:val="00457269"/>
    <w:rsid w:val="00460233"/>
    <w:rsid w:val="0046123F"/>
    <w:rsid w:val="004619CC"/>
    <w:rsid w:val="00461E36"/>
    <w:rsid w:val="0046392A"/>
    <w:rsid w:val="0046451D"/>
    <w:rsid w:val="00464A3F"/>
    <w:rsid w:val="00464A7E"/>
    <w:rsid w:val="004652F8"/>
    <w:rsid w:val="00465B3E"/>
    <w:rsid w:val="00465C0D"/>
    <w:rsid w:val="00465DED"/>
    <w:rsid w:val="00466945"/>
    <w:rsid w:val="00466ED5"/>
    <w:rsid w:val="00467388"/>
    <w:rsid w:val="00467D61"/>
    <w:rsid w:val="00470261"/>
    <w:rsid w:val="00470367"/>
    <w:rsid w:val="004705C5"/>
    <w:rsid w:val="0047062C"/>
    <w:rsid w:val="00470934"/>
    <w:rsid w:val="00470AE5"/>
    <w:rsid w:val="0047124D"/>
    <w:rsid w:val="00471CC8"/>
    <w:rsid w:val="00471EE7"/>
    <w:rsid w:val="0047226D"/>
    <w:rsid w:val="0047365F"/>
    <w:rsid w:val="00474CD6"/>
    <w:rsid w:val="00474D62"/>
    <w:rsid w:val="004751E7"/>
    <w:rsid w:val="0047557C"/>
    <w:rsid w:val="0047562B"/>
    <w:rsid w:val="004758F9"/>
    <w:rsid w:val="00475D1D"/>
    <w:rsid w:val="004770BE"/>
    <w:rsid w:val="00477276"/>
    <w:rsid w:val="004776B9"/>
    <w:rsid w:val="00477C17"/>
    <w:rsid w:val="00480837"/>
    <w:rsid w:val="004813C6"/>
    <w:rsid w:val="00481B7C"/>
    <w:rsid w:val="00482480"/>
    <w:rsid w:val="00482C64"/>
    <w:rsid w:val="00482DF6"/>
    <w:rsid w:val="00485168"/>
    <w:rsid w:val="004855EC"/>
    <w:rsid w:val="0048578C"/>
    <w:rsid w:val="00485872"/>
    <w:rsid w:val="00485915"/>
    <w:rsid w:val="00485EA4"/>
    <w:rsid w:val="0048669A"/>
    <w:rsid w:val="00486C08"/>
    <w:rsid w:val="0048757E"/>
    <w:rsid w:val="00487C54"/>
    <w:rsid w:val="00487F2E"/>
    <w:rsid w:val="00490561"/>
    <w:rsid w:val="0049059F"/>
    <w:rsid w:val="00490F6B"/>
    <w:rsid w:val="00492CA8"/>
    <w:rsid w:val="004932D3"/>
    <w:rsid w:val="0049351A"/>
    <w:rsid w:val="0049364A"/>
    <w:rsid w:val="00493783"/>
    <w:rsid w:val="00493EFE"/>
    <w:rsid w:val="004940C3"/>
    <w:rsid w:val="004945B1"/>
    <w:rsid w:val="00494C12"/>
    <w:rsid w:val="0049523D"/>
    <w:rsid w:val="00495625"/>
    <w:rsid w:val="004963B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429"/>
    <w:rsid w:val="004A44FB"/>
    <w:rsid w:val="004A4862"/>
    <w:rsid w:val="004A4E10"/>
    <w:rsid w:val="004A51B0"/>
    <w:rsid w:val="004A5352"/>
    <w:rsid w:val="004A565E"/>
    <w:rsid w:val="004A59A4"/>
    <w:rsid w:val="004A6727"/>
    <w:rsid w:val="004A6981"/>
    <w:rsid w:val="004A6E06"/>
    <w:rsid w:val="004A73C9"/>
    <w:rsid w:val="004A7475"/>
    <w:rsid w:val="004A7F95"/>
    <w:rsid w:val="004B261D"/>
    <w:rsid w:val="004B35DD"/>
    <w:rsid w:val="004B37D0"/>
    <w:rsid w:val="004B4608"/>
    <w:rsid w:val="004B63B7"/>
    <w:rsid w:val="004C0FE6"/>
    <w:rsid w:val="004C1447"/>
    <w:rsid w:val="004C15CD"/>
    <w:rsid w:val="004C166F"/>
    <w:rsid w:val="004C262D"/>
    <w:rsid w:val="004C2758"/>
    <w:rsid w:val="004C3BDB"/>
    <w:rsid w:val="004C3CB6"/>
    <w:rsid w:val="004C4B56"/>
    <w:rsid w:val="004C57D7"/>
    <w:rsid w:val="004C586A"/>
    <w:rsid w:val="004C6802"/>
    <w:rsid w:val="004C6CB0"/>
    <w:rsid w:val="004C6DD3"/>
    <w:rsid w:val="004C6F5B"/>
    <w:rsid w:val="004C7132"/>
    <w:rsid w:val="004C725E"/>
    <w:rsid w:val="004C7285"/>
    <w:rsid w:val="004C73AB"/>
    <w:rsid w:val="004C77BC"/>
    <w:rsid w:val="004D032D"/>
    <w:rsid w:val="004D03B3"/>
    <w:rsid w:val="004D05E3"/>
    <w:rsid w:val="004D0729"/>
    <w:rsid w:val="004D10AE"/>
    <w:rsid w:val="004D13DA"/>
    <w:rsid w:val="004D176E"/>
    <w:rsid w:val="004D241E"/>
    <w:rsid w:val="004D2FB2"/>
    <w:rsid w:val="004D411E"/>
    <w:rsid w:val="004D427F"/>
    <w:rsid w:val="004D48AB"/>
    <w:rsid w:val="004D4B0C"/>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206A"/>
    <w:rsid w:val="004E2F50"/>
    <w:rsid w:val="004E33EB"/>
    <w:rsid w:val="004E345A"/>
    <w:rsid w:val="004E3F06"/>
    <w:rsid w:val="004E433E"/>
    <w:rsid w:val="004E4394"/>
    <w:rsid w:val="004E44AF"/>
    <w:rsid w:val="004E52D5"/>
    <w:rsid w:val="004E59C7"/>
    <w:rsid w:val="004E67BD"/>
    <w:rsid w:val="004E67CC"/>
    <w:rsid w:val="004E6BED"/>
    <w:rsid w:val="004E7CFB"/>
    <w:rsid w:val="004F0094"/>
    <w:rsid w:val="004F091C"/>
    <w:rsid w:val="004F1279"/>
    <w:rsid w:val="004F1517"/>
    <w:rsid w:val="004F18C6"/>
    <w:rsid w:val="004F1DD7"/>
    <w:rsid w:val="004F266B"/>
    <w:rsid w:val="004F2CF9"/>
    <w:rsid w:val="004F3163"/>
    <w:rsid w:val="004F3E76"/>
    <w:rsid w:val="004F4097"/>
    <w:rsid w:val="004F4B8F"/>
    <w:rsid w:val="004F5901"/>
    <w:rsid w:val="004F59D0"/>
    <w:rsid w:val="004F5B1F"/>
    <w:rsid w:val="004F5E09"/>
    <w:rsid w:val="004F644E"/>
    <w:rsid w:val="004F797F"/>
    <w:rsid w:val="004F7E38"/>
    <w:rsid w:val="004F7F3C"/>
    <w:rsid w:val="0050043A"/>
    <w:rsid w:val="00500875"/>
    <w:rsid w:val="005009E8"/>
    <w:rsid w:val="005011A8"/>
    <w:rsid w:val="0050193A"/>
    <w:rsid w:val="00501E03"/>
    <w:rsid w:val="00501E5A"/>
    <w:rsid w:val="00501EB7"/>
    <w:rsid w:val="00502668"/>
    <w:rsid w:val="0050276C"/>
    <w:rsid w:val="005027F7"/>
    <w:rsid w:val="0050367F"/>
    <w:rsid w:val="00503D09"/>
    <w:rsid w:val="00503FE5"/>
    <w:rsid w:val="00504068"/>
    <w:rsid w:val="00504889"/>
    <w:rsid w:val="00504F17"/>
    <w:rsid w:val="00505297"/>
    <w:rsid w:val="0050563F"/>
    <w:rsid w:val="0050650A"/>
    <w:rsid w:val="00507045"/>
    <w:rsid w:val="00507372"/>
    <w:rsid w:val="00507643"/>
    <w:rsid w:val="00507ABD"/>
    <w:rsid w:val="00507FA4"/>
    <w:rsid w:val="005100BF"/>
    <w:rsid w:val="00510424"/>
    <w:rsid w:val="00510505"/>
    <w:rsid w:val="00510D49"/>
    <w:rsid w:val="0051105A"/>
    <w:rsid w:val="00511CAA"/>
    <w:rsid w:val="00511D21"/>
    <w:rsid w:val="00512690"/>
    <w:rsid w:val="00512B7A"/>
    <w:rsid w:val="00512CCA"/>
    <w:rsid w:val="00512EFD"/>
    <w:rsid w:val="00513220"/>
    <w:rsid w:val="005134DC"/>
    <w:rsid w:val="0051352C"/>
    <w:rsid w:val="00513896"/>
    <w:rsid w:val="00513998"/>
    <w:rsid w:val="00514214"/>
    <w:rsid w:val="0051453F"/>
    <w:rsid w:val="005146B7"/>
    <w:rsid w:val="00514823"/>
    <w:rsid w:val="00514C0A"/>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68E4"/>
    <w:rsid w:val="00527307"/>
    <w:rsid w:val="00527637"/>
    <w:rsid w:val="00527E4A"/>
    <w:rsid w:val="00530122"/>
    <w:rsid w:val="00530202"/>
    <w:rsid w:val="00530617"/>
    <w:rsid w:val="00530B1B"/>
    <w:rsid w:val="00531C5E"/>
    <w:rsid w:val="0053266F"/>
    <w:rsid w:val="00532A52"/>
    <w:rsid w:val="00532FBE"/>
    <w:rsid w:val="00533D1D"/>
    <w:rsid w:val="00535772"/>
    <w:rsid w:val="005357E8"/>
    <w:rsid w:val="005360B6"/>
    <w:rsid w:val="0053616B"/>
    <w:rsid w:val="00536AB7"/>
    <w:rsid w:val="00540796"/>
    <w:rsid w:val="005408EA"/>
    <w:rsid w:val="00540B90"/>
    <w:rsid w:val="00540C01"/>
    <w:rsid w:val="00541566"/>
    <w:rsid w:val="00541618"/>
    <w:rsid w:val="005418F9"/>
    <w:rsid w:val="00541F2C"/>
    <w:rsid w:val="005422F4"/>
    <w:rsid w:val="00542595"/>
    <w:rsid w:val="005426BA"/>
    <w:rsid w:val="00542754"/>
    <w:rsid w:val="0054330F"/>
    <w:rsid w:val="00543654"/>
    <w:rsid w:val="005438BB"/>
    <w:rsid w:val="005439CF"/>
    <w:rsid w:val="00543AB5"/>
    <w:rsid w:val="005448D4"/>
    <w:rsid w:val="00544D52"/>
    <w:rsid w:val="005459D3"/>
    <w:rsid w:val="00545B7C"/>
    <w:rsid w:val="00545D4C"/>
    <w:rsid w:val="00545FC1"/>
    <w:rsid w:val="00546C0C"/>
    <w:rsid w:val="00547260"/>
    <w:rsid w:val="00547A02"/>
    <w:rsid w:val="00547A8E"/>
    <w:rsid w:val="00547E1E"/>
    <w:rsid w:val="00550163"/>
    <w:rsid w:val="00550BD7"/>
    <w:rsid w:val="00550FF4"/>
    <w:rsid w:val="00551A35"/>
    <w:rsid w:val="005520D7"/>
    <w:rsid w:val="005521BC"/>
    <w:rsid w:val="005531EF"/>
    <w:rsid w:val="00553C8A"/>
    <w:rsid w:val="00553F48"/>
    <w:rsid w:val="0055408C"/>
    <w:rsid w:val="00555289"/>
    <w:rsid w:val="0055532A"/>
    <w:rsid w:val="00557BE8"/>
    <w:rsid w:val="00560452"/>
    <w:rsid w:val="0056097F"/>
    <w:rsid w:val="00560E39"/>
    <w:rsid w:val="00560F12"/>
    <w:rsid w:val="00562076"/>
    <w:rsid w:val="005622D6"/>
    <w:rsid w:val="00562AD4"/>
    <w:rsid w:val="00563583"/>
    <w:rsid w:val="005635DB"/>
    <w:rsid w:val="00563722"/>
    <w:rsid w:val="005644D2"/>
    <w:rsid w:val="00564915"/>
    <w:rsid w:val="00565126"/>
    <w:rsid w:val="0056605B"/>
    <w:rsid w:val="005664D0"/>
    <w:rsid w:val="00566509"/>
    <w:rsid w:val="00566C96"/>
    <w:rsid w:val="0056736F"/>
    <w:rsid w:val="00567D1B"/>
    <w:rsid w:val="005705DB"/>
    <w:rsid w:val="005709EF"/>
    <w:rsid w:val="0057109F"/>
    <w:rsid w:val="00571971"/>
    <w:rsid w:val="005721D9"/>
    <w:rsid w:val="00572770"/>
    <w:rsid w:val="005727ED"/>
    <w:rsid w:val="0057299C"/>
    <w:rsid w:val="00572A16"/>
    <w:rsid w:val="00572D02"/>
    <w:rsid w:val="00572E68"/>
    <w:rsid w:val="00572F10"/>
    <w:rsid w:val="005731E7"/>
    <w:rsid w:val="00573836"/>
    <w:rsid w:val="00573C96"/>
    <w:rsid w:val="00574200"/>
    <w:rsid w:val="00574776"/>
    <w:rsid w:val="005747E8"/>
    <w:rsid w:val="00574ADD"/>
    <w:rsid w:val="00574BF4"/>
    <w:rsid w:val="00575FD0"/>
    <w:rsid w:val="00576547"/>
    <w:rsid w:val="005766D7"/>
    <w:rsid w:val="00576B8F"/>
    <w:rsid w:val="00576ED0"/>
    <w:rsid w:val="00576F87"/>
    <w:rsid w:val="00577B69"/>
    <w:rsid w:val="005800A3"/>
    <w:rsid w:val="00580FED"/>
    <w:rsid w:val="00581587"/>
    <w:rsid w:val="00581F5A"/>
    <w:rsid w:val="00582B82"/>
    <w:rsid w:val="00582EF6"/>
    <w:rsid w:val="00583464"/>
    <w:rsid w:val="00583A9B"/>
    <w:rsid w:val="00584A54"/>
    <w:rsid w:val="00584E20"/>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3F48"/>
    <w:rsid w:val="005946F1"/>
    <w:rsid w:val="005950AF"/>
    <w:rsid w:val="00597E2F"/>
    <w:rsid w:val="005A02B7"/>
    <w:rsid w:val="005A07C9"/>
    <w:rsid w:val="005A10EF"/>
    <w:rsid w:val="005A12C1"/>
    <w:rsid w:val="005A12E3"/>
    <w:rsid w:val="005A1307"/>
    <w:rsid w:val="005A1548"/>
    <w:rsid w:val="005A371D"/>
    <w:rsid w:val="005A385F"/>
    <w:rsid w:val="005A4642"/>
    <w:rsid w:val="005A4851"/>
    <w:rsid w:val="005A4B6B"/>
    <w:rsid w:val="005A4FD0"/>
    <w:rsid w:val="005A5C02"/>
    <w:rsid w:val="005A61DF"/>
    <w:rsid w:val="005A6614"/>
    <w:rsid w:val="005A66D1"/>
    <w:rsid w:val="005A708D"/>
    <w:rsid w:val="005A7559"/>
    <w:rsid w:val="005A7587"/>
    <w:rsid w:val="005A788F"/>
    <w:rsid w:val="005B0942"/>
    <w:rsid w:val="005B15EF"/>
    <w:rsid w:val="005B1ADB"/>
    <w:rsid w:val="005B1BDC"/>
    <w:rsid w:val="005B1C58"/>
    <w:rsid w:val="005B342A"/>
    <w:rsid w:val="005B37AA"/>
    <w:rsid w:val="005B37B4"/>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6E78"/>
    <w:rsid w:val="005C7036"/>
    <w:rsid w:val="005C7053"/>
    <w:rsid w:val="005D0181"/>
    <w:rsid w:val="005D1B22"/>
    <w:rsid w:val="005D1F87"/>
    <w:rsid w:val="005D247E"/>
    <w:rsid w:val="005D2797"/>
    <w:rsid w:val="005D2821"/>
    <w:rsid w:val="005D29AB"/>
    <w:rsid w:val="005D2AD9"/>
    <w:rsid w:val="005D487B"/>
    <w:rsid w:val="005D569E"/>
    <w:rsid w:val="005D6275"/>
    <w:rsid w:val="005D6A20"/>
    <w:rsid w:val="005D6BC4"/>
    <w:rsid w:val="005D75A8"/>
    <w:rsid w:val="005D7CA0"/>
    <w:rsid w:val="005D7F63"/>
    <w:rsid w:val="005D7FD7"/>
    <w:rsid w:val="005E01D6"/>
    <w:rsid w:val="005E058B"/>
    <w:rsid w:val="005E05EA"/>
    <w:rsid w:val="005E0D2C"/>
    <w:rsid w:val="005E0FBF"/>
    <w:rsid w:val="005E1A94"/>
    <w:rsid w:val="005E1E5E"/>
    <w:rsid w:val="005E1EC8"/>
    <w:rsid w:val="005E1F76"/>
    <w:rsid w:val="005E2578"/>
    <w:rsid w:val="005E2858"/>
    <w:rsid w:val="005E320C"/>
    <w:rsid w:val="005E3644"/>
    <w:rsid w:val="005E43D7"/>
    <w:rsid w:val="005E43D9"/>
    <w:rsid w:val="005E4D2B"/>
    <w:rsid w:val="005E4DFD"/>
    <w:rsid w:val="005E4E92"/>
    <w:rsid w:val="005E5326"/>
    <w:rsid w:val="005E549E"/>
    <w:rsid w:val="005E5E26"/>
    <w:rsid w:val="005E5F05"/>
    <w:rsid w:val="005E60DE"/>
    <w:rsid w:val="005E621A"/>
    <w:rsid w:val="005E6788"/>
    <w:rsid w:val="005E7894"/>
    <w:rsid w:val="005E78D5"/>
    <w:rsid w:val="005F048A"/>
    <w:rsid w:val="005F0DF2"/>
    <w:rsid w:val="005F1192"/>
    <w:rsid w:val="005F1223"/>
    <w:rsid w:val="005F1569"/>
    <w:rsid w:val="005F1684"/>
    <w:rsid w:val="005F186F"/>
    <w:rsid w:val="005F2A09"/>
    <w:rsid w:val="005F30AF"/>
    <w:rsid w:val="005F3287"/>
    <w:rsid w:val="005F354D"/>
    <w:rsid w:val="005F36B8"/>
    <w:rsid w:val="005F41E6"/>
    <w:rsid w:val="005F4F63"/>
    <w:rsid w:val="005F50F8"/>
    <w:rsid w:val="005F57CD"/>
    <w:rsid w:val="005F5C60"/>
    <w:rsid w:val="005F65D7"/>
    <w:rsid w:val="005F7277"/>
    <w:rsid w:val="005F7432"/>
    <w:rsid w:val="0060015E"/>
    <w:rsid w:val="00600FF2"/>
    <w:rsid w:val="0060107B"/>
    <w:rsid w:val="00601744"/>
    <w:rsid w:val="00601EEB"/>
    <w:rsid w:val="0060324A"/>
    <w:rsid w:val="0060397E"/>
    <w:rsid w:val="00603B00"/>
    <w:rsid w:val="00603DF2"/>
    <w:rsid w:val="00604586"/>
    <w:rsid w:val="00604A3E"/>
    <w:rsid w:val="00604E98"/>
    <w:rsid w:val="006052EB"/>
    <w:rsid w:val="00605593"/>
    <w:rsid w:val="00607A47"/>
    <w:rsid w:val="00607D49"/>
    <w:rsid w:val="00607E9C"/>
    <w:rsid w:val="00610586"/>
    <w:rsid w:val="00610A0E"/>
    <w:rsid w:val="00610D9A"/>
    <w:rsid w:val="00611ED2"/>
    <w:rsid w:val="0061253F"/>
    <w:rsid w:val="00613239"/>
    <w:rsid w:val="006133AF"/>
    <w:rsid w:val="00614D9F"/>
    <w:rsid w:val="00615CF7"/>
    <w:rsid w:val="0061600A"/>
    <w:rsid w:val="00616417"/>
    <w:rsid w:val="0061657A"/>
    <w:rsid w:val="00616CA8"/>
    <w:rsid w:val="00617620"/>
    <w:rsid w:val="006177C3"/>
    <w:rsid w:val="00617CB1"/>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648E"/>
    <w:rsid w:val="00627AF1"/>
    <w:rsid w:val="00627B99"/>
    <w:rsid w:val="00627E79"/>
    <w:rsid w:val="00631EC7"/>
    <w:rsid w:val="006335B0"/>
    <w:rsid w:val="00633D19"/>
    <w:rsid w:val="00633D42"/>
    <w:rsid w:val="00634056"/>
    <w:rsid w:val="0063414C"/>
    <w:rsid w:val="0063472A"/>
    <w:rsid w:val="00634CAD"/>
    <w:rsid w:val="00634E82"/>
    <w:rsid w:val="00636368"/>
    <w:rsid w:val="006363FA"/>
    <w:rsid w:val="00636979"/>
    <w:rsid w:val="006372D5"/>
    <w:rsid w:val="00637828"/>
    <w:rsid w:val="006379A7"/>
    <w:rsid w:val="00637EA1"/>
    <w:rsid w:val="00640237"/>
    <w:rsid w:val="0064124F"/>
    <w:rsid w:val="00641AB6"/>
    <w:rsid w:val="00642173"/>
    <w:rsid w:val="00642997"/>
    <w:rsid w:val="006436D0"/>
    <w:rsid w:val="00643F7D"/>
    <w:rsid w:val="0064437A"/>
    <w:rsid w:val="00645DD3"/>
    <w:rsid w:val="0064650B"/>
    <w:rsid w:val="00646641"/>
    <w:rsid w:val="00646B2F"/>
    <w:rsid w:val="00646C99"/>
    <w:rsid w:val="00646FF5"/>
    <w:rsid w:val="00647366"/>
    <w:rsid w:val="00647CD3"/>
    <w:rsid w:val="0065022E"/>
    <w:rsid w:val="00650398"/>
    <w:rsid w:val="0065047A"/>
    <w:rsid w:val="006510E7"/>
    <w:rsid w:val="006514DB"/>
    <w:rsid w:val="00651D1E"/>
    <w:rsid w:val="006524CF"/>
    <w:rsid w:val="00652AB2"/>
    <w:rsid w:val="00654F65"/>
    <w:rsid w:val="006556B0"/>
    <w:rsid w:val="006557F4"/>
    <w:rsid w:val="0065588A"/>
    <w:rsid w:val="00655983"/>
    <w:rsid w:val="00656065"/>
    <w:rsid w:val="006571CF"/>
    <w:rsid w:val="0065748E"/>
    <w:rsid w:val="00657934"/>
    <w:rsid w:val="00657A63"/>
    <w:rsid w:val="00660467"/>
    <w:rsid w:val="006604AF"/>
    <w:rsid w:val="006612B7"/>
    <w:rsid w:val="00661497"/>
    <w:rsid w:val="00661503"/>
    <w:rsid w:val="006617A5"/>
    <w:rsid w:val="00661EB0"/>
    <w:rsid w:val="0066235E"/>
    <w:rsid w:val="00662523"/>
    <w:rsid w:val="00662B0D"/>
    <w:rsid w:val="006631F5"/>
    <w:rsid w:val="00663E53"/>
    <w:rsid w:val="00663E9E"/>
    <w:rsid w:val="006644CF"/>
    <w:rsid w:val="006645B8"/>
    <w:rsid w:val="00665461"/>
    <w:rsid w:val="00666308"/>
    <w:rsid w:val="00666BB7"/>
    <w:rsid w:val="00666C4C"/>
    <w:rsid w:val="00667518"/>
    <w:rsid w:val="00670342"/>
    <w:rsid w:val="00670D33"/>
    <w:rsid w:val="0067157C"/>
    <w:rsid w:val="00671AFA"/>
    <w:rsid w:val="006722F6"/>
    <w:rsid w:val="006725F0"/>
    <w:rsid w:val="00672A00"/>
    <w:rsid w:val="00672A27"/>
    <w:rsid w:val="00674135"/>
    <w:rsid w:val="00674DCE"/>
    <w:rsid w:val="00675104"/>
    <w:rsid w:val="00675A8E"/>
    <w:rsid w:val="00675C6F"/>
    <w:rsid w:val="00675D1F"/>
    <w:rsid w:val="00675F27"/>
    <w:rsid w:val="00676955"/>
    <w:rsid w:val="00676D3E"/>
    <w:rsid w:val="00677048"/>
    <w:rsid w:val="0068046C"/>
    <w:rsid w:val="006812C0"/>
    <w:rsid w:val="00681732"/>
    <w:rsid w:val="00681B7E"/>
    <w:rsid w:val="006828B7"/>
    <w:rsid w:val="00683085"/>
    <w:rsid w:val="0068311C"/>
    <w:rsid w:val="0068387C"/>
    <w:rsid w:val="00683942"/>
    <w:rsid w:val="00683ACE"/>
    <w:rsid w:val="00683E1A"/>
    <w:rsid w:val="006844C6"/>
    <w:rsid w:val="0068574F"/>
    <w:rsid w:val="00686222"/>
    <w:rsid w:val="00686C68"/>
    <w:rsid w:val="00686D9B"/>
    <w:rsid w:val="00686F04"/>
    <w:rsid w:val="00686F62"/>
    <w:rsid w:val="00687043"/>
    <w:rsid w:val="006872FC"/>
    <w:rsid w:val="00690B64"/>
    <w:rsid w:val="00691F51"/>
    <w:rsid w:val="00692328"/>
    <w:rsid w:val="0069241A"/>
    <w:rsid w:val="00693207"/>
    <w:rsid w:val="006935B9"/>
    <w:rsid w:val="00694848"/>
    <w:rsid w:val="00694C3D"/>
    <w:rsid w:val="00695224"/>
    <w:rsid w:val="00695584"/>
    <w:rsid w:val="00695AF5"/>
    <w:rsid w:val="00696667"/>
    <w:rsid w:val="00696EA4"/>
    <w:rsid w:val="00697A24"/>
    <w:rsid w:val="00697C1D"/>
    <w:rsid w:val="006A0902"/>
    <w:rsid w:val="006A0BAC"/>
    <w:rsid w:val="006A0DC0"/>
    <w:rsid w:val="006A1022"/>
    <w:rsid w:val="006A104A"/>
    <w:rsid w:val="006A158C"/>
    <w:rsid w:val="006A189A"/>
    <w:rsid w:val="006A1938"/>
    <w:rsid w:val="006A1BD9"/>
    <w:rsid w:val="006A1CEB"/>
    <w:rsid w:val="006A1D13"/>
    <w:rsid w:val="006A20E5"/>
    <w:rsid w:val="006A231D"/>
    <w:rsid w:val="006A256B"/>
    <w:rsid w:val="006A28D6"/>
    <w:rsid w:val="006A2F27"/>
    <w:rsid w:val="006A333F"/>
    <w:rsid w:val="006A33B2"/>
    <w:rsid w:val="006A38CC"/>
    <w:rsid w:val="006A3E23"/>
    <w:rsid w:val="006A48DE"/>
    <w:rsid w:val="006A4A68"/>
    <w:rsid w:val="006A4DFD"/>
    <w:rsid w:val="006A5013"/>
    <w:rsid w:val="006A5734"/>
    <w:rsid w:val="006A610B"/>
    <w:rsid w:val="006A6598"/>
    <w:rsid w:val="006A6C76"/>
    <w:rsid w:val="006A75E1"/>
    <w:rsid w:val="006A7DA2"/>
    <w:rsid w:val="006B07AC"/>
    <w:rsid w:val="006B09B1"/>
    <w:rsid w:val="006B1298"/>
    <w:rsid w:val="006B1923"/>
    <w:rsid w:val="006B1CFA"/>
    <w:rsid w:val="006B260C"/>
    <w:rsid w:val="006B2E18"/>
    <w:rsid w:val="006B30BA"/>
    <w:rsid w:val="006B38D4"/>
    <w:rsid w:val="006B3D4C"/>
    <w:rsid w:val="006B445B"/>
    <w:rsid w:val="006B541F"/>
    <w:rsid w:val="006B5DC9"/>
    <w:rsid w:val="006B65F2"/>
    <w:rsid w:val="006B66F8"/>
    <w:rsid w:val="006B6C8C"/>
    <w:rsid w:val="006B6CDF"/>
    <w:rsid w:val="006B7604"/>
    <w:rsid w:val="006B77FE"/>
    <w:rsid w:val="006B7869"/>
    <w:rsid w:val="006B7A32"/>
    <w:rsid w:val="006C0088"/>
    <w:rsid w:val="006C0CC8"/>
    <w:rsid w:val="006C19AD"/>
    <w:rsid w:val="006C1D0E"/>
    <w:rsid w:val="006C1FFC"/>
    <w:rsid w:val="006C2192"/>
    <w:rsid w:val="006C2227"/>
    <w:rsid w:val="006C2237"/>
    <w:rsid w:val="006C2A33"/>
    <w:rsid w:val="006C3391"/>
    <w:rsid w:val="006C3957"/>
    <w:rsid w:val="006C3C53"/>
    <w:rsid w:val="006C3CBA"/>
    <w:rsid w:val="006C3E30"/>
    <w:rsid w:val="006C3E96"/>
    <w:rsid w:val="006C4923"/>
    <w:rsid w:val="006C4AC7"/>
    <w:rsid w:val="006C511D"/>
    <w:rsid w:val="006C5F50"/>
    <w:rsid w:val="006D0435"/>
    <w:rsid w:val="006D05EF"/>
    <w:rsid w:val="006D0878"/>
    <w:rsid w:val="006D0BDD"/>
    <w:rsid w:val="006D0BE5"/>
    <w:rsid w:val="006D0CB8"/>
    <w:rsid w:val="006D0CDA"/>
    <w:rsid w:val="006D150F"/>
    <w:rsid w:val="006D231F"/>
    <w:rsid w:val="006D23E7"/>
    <w:rsid w:val="006D2762"/>
    <w:rsid w:val="006D2A1D"/>
    <w:rsid w:val="006D32D2"/>
    <w:rsid w:val="006D3E7B"/>
    <w:rsid w:val="006D41C9"/>
    <w:rsid w:val="006D48F6"/>
    <w:rsid w:val="006D5920"/>
    <w:rsid w:val="006D59CA"/>
    <w:rsid w:val="006D6A01"/>
    <w:rsid w:val="006D7DAF"/>
    <w:rsid w:val="006E0126"/>
    <w:rsid w:val="006E0848"/>
    <w:rsid w:val="006E0FCC"/>
    <w:rsid w:val="006E1450"/>
    <w:rsid w:val="006E28B4"/>
    <w:rsid w:val="006E3494"/>
    <w:rsid w:val="006E42A9"/>
    <w:rsid w:val="006E4C76"/>
    <w:rsid w:val="006E556E"/>
    <w:rsid w:val="006E5C0D"/>
    <w:rsid w:val="006E67A9"/>
    <w:rsid w:val="006E6FF8"/>
    <w:rsid w:val="006E7584"/>
    <w:rsid w:val="006F0B48"/>
    <w:rsid w:val="006F0C51"/>
    <w:rsid w:val="006F1710"/>
    <w:rsid w:val="006F1D0E"/>
    <w:rsid w:val="006F1F52"/>
    <w:rsid w:val="006F2368"/>
    <w:rsid w:val="006F2601"/>
    <w:rsid w:val="006F2B93"/>
    <w:rsid w:val="006F2C93"/>
    <w:rsid w:val="006F4258"/>
    <w:rsid w:val="006F45A3"/>
    <w:rsid w:val="006F4A3B"/>
    <w:rsid w:val="006F4DE0"/>
    <w:rsid w:val="006F525D"/>
    <w:rsid w:val="006F6278"/>
    <w:rsid w:val="006F7BB8"/>
    <w:rsid w:val="006F7F58"/>
    <w:rsid w:val="00700FC6"/>
    <w:rsid w:val="00701022"/>
    <w:rsid w:val="00701092"/>
    <w:rsid w:val="007016CB"/>
    <w:rsid w:val="0070184D"/>
    <w:rsid w:val="00701876"/>
    <w:rsid w:val="00701DDF"/>
    <w:rsid w:val="00702247"/>
    <w:rsid w:val="007033F1"/>
    <w:rsid w:val="00704AA2"/>
    <w:rsid w:val="00704B50"/>
    <w:rsid w:val="00704CBD"/>
    <w:rsid w:val="0070597A"/>
    <w:rsid w:val="007059E9"/>
    <w:rsid w:val="00705DC2"/>
    <w:rsid w:val="0070655B"/>
    <w:rsid w:val="007070B4"/>
    <w:rsid w:val="00707536"/>
    <w:rsid w:val="00707856"/>
    <w:rsid w:val="00707DE3"/>
    <w:rsid w:val="00710292"/>
    <w:rsid w:val="00713474"/>
    <w:rsid w:val="00713861"/>
    <w:rsid w:val="00714054"/>
    <w:rsid w:val="00714083"/>
    <w:rsid w:val="00714146"/>
    <w:rsid w:val="00716559"/>
    <w:rsid w:val="00716C9E"/>
    <w:rsid w:val="00717E16"/>
    <w:rsid w:val="007205F0"/>
    <w:rsid w:val="0072127E"/>
    <w:rsid w:val="007215B3"/>
    <w:rsid w:val="00721E68"/>
    <w:rsid w:val="0072271B"/>
    <w:rsid w:val="00722DF7"/>
    <w:rsid w:val="00723C90"/>
    <w:rsid w:val="007240BD"/>
    <w:rsid w:val="0072460F"/>
    <w:rsid w:val="00724702"/>
    <w:rsid w:val="007247CF"/>
    <w:rsid w:val="00724AD9"/>
    <w:rsid w:val="007258FF"/>
    <w:rsid w:val="00725EFC"/>
    <w:rsid w:val="00725FAB"/>
    <w:rsid w:val="007264FB"/>
    <w:rsid w:val="00727237"/>
    <w:rsid w:val="007272DA"/>
    <w:rsid w:val="007274F7"/>
    <w:rsid w:val="00730966"/>
    <w:rsid w:val="00730B23"/>
    <w:rsid w:val="00731614"/>
    <w:rsid w:val="007325D2"/>
    <w:rsid w:val="00732C34"/>
    <w:rsid w:val="007330F1"/>
    <w:rsid w:val="00733153"/>
    <w:rsid w:val="007338D1"/>
    <w:rsid w:val="00733B22"/>
    <w:rsid w:val="007347A2"/>
    <w:rsid w:val="00734D7F"/>
    <w:rsid w:val="00734F3D"/>
    <w:rsid w:val="007356DE"/>
    <w:rsid w:val="007356EE"/>
    <w:rsid w:val="00735C72"/>
    <w:rsid w:val="007362C7"/>
    <w:rsid w:val="00736789"/>
    <w:rsid w:val="007367CA"/>
    <w:rsid w:val="00736C6D"/>
    <w:rsid w:val="007377B5"/>
    <w:rsid w:val="00737C0A"/>
    <w:rsid w:val="00737CAB"/>
    <w:rsid w:val="00740187"/>
    <w:rsid w:val="0074160D"/>
    <w:rsid w:val="00741C58"/>
    <w:rsid w:val="00741C5E"/>
    <w:rsid w:val="00743262"/>
    <w:rsid w:val="007444BF"/>
    <w:rsid w:val="007444FA"/>
    <w:rsid w:val="0074533B"/>
    <w:rsid w:val="00745BD2"/>
    <w:rsid w:val="007460BF"/>
    <w:rsid w:val="00746164"/>
    <w:rsid w:val="007463BC"/>
    <w:rsid w:val="00746A22"/>
    <w:rsid w:val="00746C60"/>
    <w:rsid w:val="00746F94"/>
    <w:rsid w:val="00746FB8"/>
    <w:rsid w:val="00746FC8"/>
    <w:rsid w:val="00747235"/>
    <w:rsid w:val="00747C97"/>
    <w:rsid w:val="00747CEF"/>
    <w:rsid w:val="0075028B"/>
    <w:rsid w:val="00750D85"/>
    <w:rsid w:val="00750D90"/>
    <w:rsid w:val="00751041"/>
    <w:rsid w:val="00751196"/>
    <w:rsid w:val="00752B74"/>
    <w:rsid w:val="00752DC9"/>
    <w:rsid w:val="00752E07"/>
    <w:rsid w:val="00752FEA"/>
    <w:rsid w:val="00753B52"/>
    <w:rsid w:val="00753BD5"/>
    <w:rsid w:val="007540D2"/>
    <w:rsid w:val="0075457C"/>
    <w:rsid w:val="00755213"/>
    <w:rsid w:val="0075523F"/>
    <w:rsid w:val="00755E79"/>
    <w:rsid w:val="00756916"/>
    <w:rsid w:val="00756A61"/>
    <w:rsid w:val="00756F86"/>
    <w:rsid w:val="0075735D"/>
    <w:rsid w:val="0075777A"/>
    <w:rsid w:val="0076013E"/>
    <w:rsid w:val="00760921"/>
    <w:rsid w:val="0076128E"/>
    <w:rsid w:val="00761A68"/>
    <w:rsid w:val="0076266C"/>
    <w:rsid w:val="0076334C"/>
    <w:rsid w:val="007645ED"/>
    <w:rsid w:val="00765002"/>
    <w:rsid w:val="007675F7"/>
    <w:rsid w:val="0077091F"/>
    <w:rsid w:val="00771266"/>
    <w:rsid w:val="00771B21"/>
    <w:rsid w:val="00772036"/>
    <w:rsid w:val="0077203D"/>
    <w:rsid w:val="00772114"/>
    <w:rsid w:val="00772150"/>
    <w:rsid w:val="007721E3"/>
    <w:rsid w:val="00772B31"/>
    <w:rsid w:val="00773546"/>
    <w:rsid w:val="00773B71"/>
    <w:rsid w:val="00774BE0"/>
    <w:rsid w:val="00775496"/>
    <w:rsid w:val="00775850"/>
    <w:rsid w:val="00775910"/>
    <w:rsid w:val="0077637F"/>
    <w:rsid w:val="00776534"/>
    <w:rsid w:val="007768AE"/>
    <w:rsid w:val="00776F7B"/>
    <w:rsid w:val="00777322"/>
    <w:rsid w:val="00777C1D"/>
    <w:rsid w:val="00777C6B"/>
    <w:rsid w:val="00780CFA"/>
    <w:rsid w:val="00780D57"/>
    <w:rsid w:val="00780F67"/>
    <w:rsid w:val="007811DE"/>
    <w:rsid w:val="007818C5"/>
    <w:rsid w:val="00781EF6"/>
    <w:rsid w:val="00781F40"/>
    <w:rsid w:val="00782CE7"/>
    <w:rsid w:val="00782F5F"/>
    <w:rsid w:val="00783824"/>
    <w:rsid w:val="0078406F"/>
    <w:rsid w:val="00784306"/>
    <w:rsid w:val="00784450"/>
    <w:rsid w:val="00784DDD"/>
    <w:rsid w:val="0078528C"/>
    <w:rsid w:val="00785434"/>
    <w:rsid w:val="007854AB"/>
    <w:rsid w:val="00785789"/>
    <w:rsid w:val="007857B5"/>
    <w:rsid w:val="00785923"/>
    <w:rsid w:val="00785F9C"/>
    <w:rsid w:val="007860FC"/>
    <w:rsid w:val="00786D03"/>
    <w:rsid w:val="00786EFE"/>
    <w:rsid w:val="007874E8"/>
    <w:rsid w:val="00787E46"/>
    <w:rsid w:val="00790248"/>
    <w:rsid w:val="00790C65"/>
    <w:rsid w:val="007914C4"/>
    <w:rsid w:val="00791B4E"/>
    <w:rsid w:val="0079289A"/>
    <w:rsid w:val="007929D3"/>
    <w:rsid w:val="00792DF5"/>
    <w:rsid w:val="0079538B"/>
    <w:rsid w:val="0079543C"/>
    <w:rsid w:val="00795707"/>
    <w:rsid w:val="007958A2"/>
    <w:rsid w:val="00795A32"/>
    <w:rsid w:val="00795C4E"/>
    <w:rsid w:val="00796150"/>
    <w:rsid w:val="007970DC"/>
    <w:rsid w:val="00797438"/>
    <w:rsid w:val="00797A25"/>
    <w:rsid w:val="007A03B1"/>
    <w:rsid w:val="007A0520"/>
    <w:rsid w:val="007A0605"/>
    <w:rsid w:val="007A09DF"/>
    <w:rsid w:val="007A0E2F"/>
    <w:rsid w:val="007A10E6"/>
    <w:rsid w:val="007A1136"/>
    <w:rsid w:val="007A20EA"/>
    <w:rsid w:val="007A241F"/>
    <w:rsid w:val="007A26FB"/>
    <w:rsid w:val="007A2B5B"/>
    <w:rsid w:val="007A3506"/>
    <w:rsid w:val="007A372A"/>
    <w:rsid w:val="007A3BD1"/>
    <w:rsid w:val="007A4153"/>
    <w:rsid w:val="007A46C9"/>
    <w:rsid w:val="007A51CA"/>
    <w:rsid w:val="007A530D"/>
    <w:rsid w:val="007A5CE6"/>
    <w:rsid w:val="007A6113"/>
    <w:rsid w:val="007A6DFA"/>
    <w:rsid w:val="007A7B86"/>
    <w:rsid w:val="007B081D"/>
    <w:rsid w:val="007B1DED"/>
    <w:rsid w:val="007B3EEC"/>
    <w:rsid w:val="007B3F83"/>
    <w:rsid w:val="007B3FFF"/>
    <w:rsid w:val="007B47BA"/>
    <w:rsid w:val="007B4B17"/>
    <w:rsid w:val="007B62F5"/>
    <w:rsid w:val="007B7652"/>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BF1"/>
    <w:rsid w:val="007D0D57"/>
    <w:rsid w:val="007D1936"/>
    <w:rsid w:val="007D1D33"/>
    <w:rsid w:val="007D2640"/>
    <w:rsid w:val="007D2656"/>
    <w:rsid w:val="007D27C9"/>
    <w:rsid w:val="007D2D2D"/>
    <w:rsid w:val="007D2FDA"/>
    <w:rsid w:val="007D3048"/>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29F"/>
    <w:rsid w:val="007E4431"/>
    <w:rsid w:val="007E479E"/>
    <w:rsid w:val="007E4DF2"/>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2BA"/>
    <w:rsid w:val="007F1B06"/>
    <w:rsid w:val="007F215B"/>
    <w:rsid w:val="007F268D"/>
    <w:rsid w:val="007F2907"/>
    <w:rsid w:val="007F2930"/>
    <w:rsid w:val="007F2AD8"/>
    <w:rsid w:val="007F2BEA"/>
    <w:rsid w:val="007F345B"/>
    <w:rsid w:val="007F36BA"/>
    <w:rsid w:val="007F3919"/>
    <w:rsid w:val="007F497F"/>
    <w:rsid w:val="007F5124"/>
    <w:rsid w:val="007F53C0"/>
    <w:rsid w:val="007F577C"/>
    <w:rsid w:val="007F6A3A"/>
    <w:rsid w:val="007F6AC2"/>
    <w:rsid w:val="00800E47"/>
    <w:rsid w:val="00801AB1"/>
    <w:rsid w:val="00802383"/>
    <w:rsid w:val="008024E5"/>
    <w:rsid w:val="00802C82"/>
    <w:rsid w:val="008033B8"/>
    <w:rsid w:val="008033C1"/>
    <w:rsid w:val="00803689"/>
    <w:rsid w:val="00803D71"/>
    <w:rsid w:val="00803DDC"/>
    <w:rsid w:val="00803EBA"/>
    <w:rsid w:val="0080498C"/>
    <w:rsid w:val="008049DB"/>
    <w:rsid w:val="008054B4"/>
    <w:rsid w:val="0080557B"/>
    <w:rsid w:val="00805B7B"/>
    <w:rsid w:val="00805D34"/>
    <w:rsid w:val="00806393"/>
    <w:rsid w:val="00806FF0"/>
    <w:rsid w:val="00810A80"/>
    <w:rsid w:val="00811009"/>
    <w:rsid w:val="00811082"/>
    <w:rsid w:val="00812CAB"/>
    <w:rsid w:val="00813405"/>
    <w:rsid w:val="0081357E"/>
    <w:rsid w:val="00813C9D"/>
    <w:rsid w:val="00814F99"/>
    <w:rsid w:val="008155EC"/>
    <w:rsid w:val="00815C51"/>
    <w:rsid w:val="00816062"/>
    <w:rsid w:val="008169BD"/>
    <w:rsid w:val="00816BEF"/>
    <w:rsid w:val="00816D29"/>
    <w:rsid w:val="008179EA"/>
    <w:rsid w:val="00817F99"/>
    <w:rsid w:val="0082025A"/>
    <w:rsid w:val="008207E2"/>
    <w:rsid w:val="0082096A"/>
    <w:rsid w:val="00820DEF"/>
    <w:rsid w:val="008210EA"/>
    <w:rsid w:val="00821B46"/>
    <w:rsid w:val="008222AD"/>
    <w:rsid w:val="00822512"/>
    <w:rsid w:val="00822561"/>
    <w:rsid w:val="008225F9"/>
    <w:rsid w:val="00822D3C"/>
    <w:rsid w:val="00822FFE"/>
    <w:rsid w:val="008230A0"/>
    <w:rsid w:val="00823691"/>
    <w:rsid w:val="008239AF"/>
    <w:rsid w:val="00823F26"/>
    <w:rsid w:val="00824448"/>
    <w:rsid w:val="00824A7C"/>
    <w:rsid w:val="0082530D"/>
    <w:rsid w:val="00825530"/>
    <w:rsid w:val="00827280"/>
    <w:rsid w:val="008275A6"/>
    <w:rsid w:val="00827773"/>
    <w:rsid w:val="00827B06"/>
    <w:rsid w:val="00827E2A"/>
    <w:rsid w:val="00830148"/>
    <w:rsid w:val="00830A50"/>
    <w:rsid w:val="00830AF2"/>
    <w:rsid w:val="00830BFC"/>
    <w:rsid w:val="00830D20"/>
    <w:rsid w:val="00830EAB"/>
    <w:rsid w:val="008310D2"/>
    <w:rsid w:val="00831F24"/>
    <w:rsid w:val="00832458"/>
    <w:rsid w:val="00832573"/>
    <w:rsid w:val="00832601"/>
    <w:rsid w:val="00832DD9"/>
    <w:rsid w:val="00833045"/>
    <w:rsid w:val="0083478D"/>
    <w:rsid w:val="0083687A"/>
    <w:rsid w:val="008368D4"/>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367"/>
    <w:rsid w:val="008469B2"/>
    <w:rsid w:val="00847032"/>
    <w:rsid w:val="008472DB"/>
    <w:rsid w:val="008476CA"/>
    <w:rsid w:val="00850E12"/>
    <w:rsid w:val="00850E57"/>
    <w:rsid w:val="0085101E"/>
    <w:rsid w:val="00852470"/>
    <w:rsid w:val="008524EA"/>
    <w:rsid w:val="0085254F"/>
    <w:rsid w:val="00852846"/>
    <w:rsid w:val="008538E8"/>
    <w:rsid w:val="00854CBF"/>
    <w:rsid w:val="00855C0E"/>
    <w:rsid w:val="00855CB8"/>
    <w:rsid w:val="00856419"/>
    <w:rsid w:val="00856618"/>
    <w:rsid w:val="008566CA"/>
    <w:rsid w:val="0085682D"/>
    <w:rsid w:val="008568C5"/>
    <w:rsid w:val="00856B2E"/>
    <w:rsid w:val="008576E8"/>
    <w:rsid w:val="008610C6"/>
    <w:rsid w:val="00861804"/>
    <w:rsid w:val="00862584"/>
    <w:rsid w:val="00862D18"/>
    <w:rsid w:val="0086305F"/>
    <w:rsid w:val="008632E4"/>
    <w:rsid w:val="008637BB"/>
    <w:rsid w:val="008638FB"/>
    <w:rsid w:val="008641A3"/>
    <w:rsid w:val="00864BA7"/>
    <w:rsid w:val="00864FA0"/>
    <w:rsid w:val="00864FD5"/>
    <w:rsid w:val="008650CB"/>
    <w:rsid w:val="00867216"/>
    <w:rsid w:val="0086743B"/>
    <w:rsid w:val="00867EF6"/>
    <w:rsid w:val="00870CEF"/>
    <w:rsid w:val="0087154B"/>
    <w:rsid w:val="00871579"/>
    <w:rsid w:val="00871793"/>
    <w:rsid w:val="00871B86"/>
    <w:rsid w:val="00872962"/>
    <w:rsid w:val="008729E8"/>
    <w:rsid w:val="008731BF"/>
    <w:rsid w:val="00873A05"/>
    <w:rsid w:val="00873C79"/>
    <w:rsid w:val="008742B8"/>
    <w:rsid w:val="00874AFA"/>
    <w:rsid w:val="00874BE6"/>
    <w:rsid w:val="00874BEF"/>
    <w:rsid w:val="00874C43"/>
    <w:rsid w:val="00874C88"/>
    <w:rsid w:val="00875044"/>
    <w:rsid w:val="008752CF"/>
    <w:rsid w:val="008752D5"/>
    <w:rsid w:val="00875D1B"/>
    <w:rsid w:val="00876093"/>
    <w:rsid w:val="008774B2"/>
    <w:rsid w:val="00877570"/>
    <w:rsid w:val="008815C0"/>
    <w:rsid w:val="00881780"/>
    <w:rsid w:val="0088250C"/>
    <w:rsid w:val="008832BB"/>
    <w:rsid w:val="00884182"/>
    <w:rsid w:val="008844CC"/>
    <w:rsid w:val="00884DE8"/>
    <w:rsid w:val="0088512A"/>
    <w:rsid w:val="008864C3"/>
    <w:rsid w:val="00886B83"/>
    <w:rsid w:val="00886EC0"/>
    <w:rsid w:val="00887272"/>
    <w:rsid w:val="008877DB"/>
    <w:rsid w:val="00887AA2"/>
    <w:rsid w:val="008900AB"/>
    <w:rsid w:val="0089018B"/>
    <w:rsid w:val="00890AC9"/>
    <w:rsid w:val="008916E6"/>
    <w:rsid w:val="00891B0F"/>
    <w:rsid w:val="00892147"/>
    <w:rsid w:val="0089263D"/>
    <w:rsid w:val="008926B9"/>
    <w:rsid w:val="00892B86"/>
    <w:rsid w:val="00892BD6"/>
    <w:rsid w:val="008935B1"/>
    <w:rsid w:val="00893F4C"/>
    <w:rsid w:val="008940AA"/>
    <w:rsid w:val="00894579"/>
    <w:rsid w:val="00894649"/>
    <w:rsid w:val="00895364"/>
    <w:rsid w:val="008959FD"/>
    <w:rsid w:val="00895C6B"/>
    <w:rsid w:val="00895F61"/>
    <w:rsid w:val="00896D0A"/>
    <w:rsid w:val="0089751D"/>
    <w:rsid w:val="00897A46"/>
    <w:rsid w:val="008A0126"/>
    <w:rsid w:val="008A07C5"/>
    <w:rsid w:val="008A0954"/>
    <w:rsid w:val="008A0D61"/>
    <w:rsid w:val="008A1808"/>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1E9"/>
    <w:rsid w:val="008B3E6B"/>
    <w:rsid w:val="008B4390"/>
    <w:rsid w:val="008B4F99"/>
    <w:rsid w:val="008B5768"/>
    <w:rsid w:val="008B591C"/>
    <w:rsid w:val="008B5B1F"/>
    <w:rsid w:val="008B5F93"/>
    <w:rsid w:val="008B5FD5"/>
    <w:rsid w:val="008B63BB"/>
    <w:rsid w:val="008B6948"/>
    <w:rsid w:val="008B6A7F"/>
    <w:rsid w:val="008B6DA0"/>
    <w:rsid w:val="008B6E0E"/>
    <w:rsid w:val="008B6E62"/>
    <w:rsid w:val="008B6E85"/>
    <w:rsid w:val="008B761D"/>
    <w:rsid w:val="008B7C4A"/>
    <w:rsid w:val="008C0190"/>
    <w:rsid w:val="008C01FF"/>
    <w:rsid w:val="008C0A9D"/>
    <w:rsid w:val="008C0AFD"/>
    <w:rsid w:val="008C17E1"/>
    <w:rsid w:val="008C1961"/>
    <w:rsid w:val="008C32C7"/>
    <w:rsid w:val="008C455A"/>
    <w:rsid w:val="008C4CA8"/>
    <w:rsid w:val="008C4EDA"/>
    <w:rsid w:val="008C5305"/>
    <w:rsid w:val="008C5566"/>
    <w:rsid w:val="008C562A"/>
    <w:rsid w:val="008C5863"/>
    <w:rsid w:val="008C69A9"/>
    <w:rsid w:val="008C6D7A"/>
    <w:rsid w:val="008C7124"/>
    <w:rsid w:val="008C713E"/>
    <w:rsid w:val="008C794E"/>
    <w:rsid w:val="008C7B9B"/>
    <w:rsid w:val="008D07A1"/>
    <w:rsid w:val="008D0D6B"/>
    <w:rsid w:val="008D0E73"/>
    <w:rsid w:val="008D14B9"/>
    <w:rsid w:val="008D1648"/>
    <w:rsid w:val="008D16DD"/>
    <w:rsid w:val="008D2745"/>
    <w:rsid w:val="008D2A84"/>
    <w:rsid w:val="008D3C40"/>
    <w:rsid w:val="008D4D1D"/>
    <w:rsid w:val="008D50BF"/>
    <w:rsid w:val="008D5D67"/>
    <w:rsid w:val="008D5F2F"/>
    <w:rsid w:val="008D6448"/>
    <w:rsid w:val="008D66D8"/>
    <w:rsid w:val="008D682A"/>
    <w:rsid w:val="008D751E"/>
    <w:rsid w:val="008D7E7E"/>
    <w:rsid w:val="008E02A6"/>
    <w:rsid w:val="008E02FA"/>
    <w:rsid w:val="008E1751"/>
    <w:rsid w:val="008E1873"/>
    <w:rsid w:val="008E1922"/>
    <w:rsid w:val="008E1A39"/>
    <w:rsid w:val="008E1CD3"/>
    <w:rsid w:val="008E1F25"/>
    <w:rsid w:val="008E27CB"/>
    <w:rsid w:val="008E2AE3"/>
    <w:rsid w:val="008E449D"/>
    <w:rsid w:val="008E4F42"/>
    <w:rsid w:val="008E5072"/>
    <w:rsid w:val="008E57B4"/>
    <w:rsid w:val="008E58A8"/>
    <w:rsid w:val="008E6374"/>
    <w:rsid w:val="008E6791"/>
    <w:rsid w:val="008E72A7"/>
    <w:rsid w:val="008E7C43"/>
    <w:rsid w:val="008F0232"/>
    <w:rsid w:val="008F04AE"/>
    <w:rsid w:val="008F0682"/>
    <w:rsid w:val="008F06E3"/>
    <w:rsid w:val="008F1581"/>
    <w:rsid w:val="008F23FE"/>
    <w:rsid w:val="008F279E"/>
    <w:rsid w:val="008F2820"/>
    <w:rsid w:val="008F2C96"/>
    <w:rsid w:val="008F3767"/>
    <w:rsid w:val="008F3AB4"/>
    <w:rsid w:val="008F432B"/>
    <w:rsid w:val="008F43F9"/>
    <w:rsid w:val="008F4452"/>
    <w:rsid w:val="008F4F69"/>
    <w:rsid w:val="008F4FFD"/>
    <w:rsid w:val="008F53DF"/>
    <w:rsid w:val="008F54DD"/>
    <w:rsid w:val="008F6E39"/>
    <w:rsid w:val="008F72A3"/>
    <w:rsid w:val="00900473"/>
    <w:rsid w:val="009007BB"/>
    <w:rsid w:val="00900ED9"/>
    <w:rsid w:val="009013F6"/>
    <w:rsid w:val="00901880"/>
    <w:rsid w:val="009018CE"/>
    <w:rsid w:val="00901D16"/>
    <w:rsid w:val="00901EB2"/>
    <w:rsid w:val="00902AA5"/>
    <w:rsid w:val="00904000"/>
    <w:rsid w:val="00904F14"/>
    <w:rsid w:val="0090562E"/>
    <w:rsid w:val="00905A66"/>
    <w:rsid w:val="00905DB4"/>
    <w:rsid w:val="00905F41"/>
    <w:rsid w:val="00906446"/>
    <w:rsid w:val="00906459"/>
    <w:rsid w:val="009068B9"/>
    <w:rsid w:val="00906C94"/>
    <w:rsid w:val="009071BB"/>
    <w:rsid w:val="00910402"/>
    <w:rsid w:val="00911100"/>
    <w:rsid w:val="00911F3B"/>
    <w:rsid w:val="009130F8"/>
    <w:rsid w:val="00913249"/>
    <w:rsid w:val="00913494"/>
    <w:rsid w:val="00913699"/>
    <w:rsid w:val="00913C46"/>
    <w:rsid w:val="00913E4F"/>
    <w:rsid w:val="00913F80"/>
    <w:rsid w:val="009144AB"/>
    <w:rsid w:val="009144D5"/>
    <w:rsid w:val="00914654"/>
    <w:rsid w:val="00914EC1"/>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436"/>
    <w:rsid w:val="00924A9F"/>
    <w:rsid w:val="00925042"/>
    <w:rsid w:val="009251E0"/>
    <w:rsid w:val="009257E0"/>
    <w:rsid w:val="009269BD"/>
    <w:rsid w:val="00926AA3"/>
    <w:rsid w:val="00926E00"/>
    <w:rsid w:val="00926E34"/>
    <w:rsid w:val="0093031B"/>
    <w:rsid w:val="00930B44"/>
    <w:rsid w:val="00931225"/>
    <w:rsid w:val="0093126B"/>
    <w:rsid w:val="0093128F"/>
    <w:rsid w:val="00931D72"/>
    <w:rsid w:val="00932256"/>
    <w:rsid w:val="00932288"/>
    <w:rsid w:val="00932774"/>
    <w:rsid w:val="00932A7C"/>
    <w:rsid w:val="0093324D"/>
    <w:rsid w:val="00933603"/>
    <w:rsid w:val="00934680"/>
    <w:rsid w:val="009350DA"/>
    <w:rsid w:val="0093570B"/>
    <w:rsid w:val="009357E4"/>
    <w:rsid w:val="0093646B"/>
    <w:rsid w:val="0093791B"/>
    <w:rsid w:val="00940D6C"/>
    <w:rsid w:val="00941303"/>
    <w:rsid w:val="0094165E"/>
    <w:rsid w:val="00941E8B"/>
    <w:rsid w:val="00941FD2"/>
    <w:rsid w:val="009429B6"/>
    <w:rsid w:val="009443AE"/>
    <w:rsid w:val="00944B51"/>
    <w:rsid w:val="00944BA6"/>
    <w:rsid w:val="00944CFB"/>
    <w:rsid w:val="00944E19"/>
    <w:rsid w:val="00944F50"/>
    <w:rsid w:val="00945199"/>
    <w:rsid w:val="009457AA"/>
    <w:rsid w:val="00945A29"/>
    <w:rsid w:val="009463D5"/>
    <w:rsid w:val="00946797"/>
    <w:rsid w:val="00946800"/>
    <w:rsid w:val="00946822"/>
    <w:rsid w:val="0094706D"/>
    <w:rsid w:val="0094795A"/>
    <w:rsid w:val="00947C03"/>
    <w:rsid w:val="009511EB"/>
    <w:rsid w:val="00951870"/>
    <w:rsid w:val="00951EE6"/>
    <w:rsid w:val="00952051"/>
    <w:rsid w:val="00953ABF"/>
    <w:rsid w:val="00953D69"/>
    <w:rsid w:val="00954226"/>
    <w:rsid w:val="00954658"/>
    <w:rsid w:val="00954D8E"/>
    <w:rsid w:val="00956153"/>
    <w:rsid w:val="009561B4"/>
    <w:rsid w:val="009565AE"/>
    <w:rsid w:val="00956AA3"/>
    <w:rsid w:val="009574B7"/>
    <w:rsid w:val="009605F6"/>
    <w:rsid w:val="00960662"/>
    <w:rsid w:val="00960BD9"/>
    <w:rsid w:val="009611D3"/>
    <w:rsid w:val="00962193"/>
    <w:rsid w:val="009627CF"/>
    <w:rsid w:val="00962E7D"/>
    <w:rsid w:val="0096406A"/>
    <w:rsid w:val="00964D10"/>
    <w:rsid w:val="00965153"/>
    <w:rsid w:val="0096531D"/>
    <w:rsid w:val="00965371"/>
    <w:rsid w:val="00965468"/>
    <w:rsid w:val="00965874"/>
    <w:rsid w:val="00965E71"/>
    <w:rsid w:val="009667F1"/>
    <w:rsid w:val="009668D3"/>
    <w:rsid w:val="009670C2"/>
    <w:rsid w:val="00967CDE"/>
    <w:rsid w:val="00970100"/>
    <w:rsid w:val="0097040B"/>
    <w:rsid w:val="00970D44"/>
    <w:rsid w:val="00972177"/>
    <w:rsid w:val="0097219F"/>
    <w:rsid w:val="00973366"/>
    <w:rsid w:val="00973DF4"/>
    <w:rsid w:val="00974624"/>
    <w:rsid w:val="00975087"/>
    <w:rsid w:val="00975C59"/>
    <w:rsid w:val="009760F9"/>
    <w:rsid w:val="00976215"/>
    <w:rsid w:val="00976309"/>
    <w:rsid w:val="009773D6"/>
    <w:rsid w:val="00977491"/>
    <w:rsid w:val="00977C0C"/>
    <w:rsid w:val="00980588"/>
    <w:rsid w:val="00980C2C"/>
    <w:rsid w:val="00982626"/>
    <w:rsid w:val="00982A19"/>
    <w:rsid w:val="00982F86"/>
    <w:rsid w:val="00983210"/>
    <w:rsid w:val="009833D1"/>
    <w:rsid w:val="0098376A"/>
    <w:rsid w:val="00983D24"/>
    <w:rsid w:val="00983F50"/>
    <w:rsid w:val="0098413C"/>
    <w:rsid w:val="0098560B"/>
    <w:rsid w:val="0098605C"/>
    <w:rsid w:val="00987290"/>
    <w:rsid w:val="009872EB"/>
    <w:rsid w:val="009876EE"/>
    <w:rsid w:val="00987AA2"/>
    <w:rsid w:val="00987B8C"/>
    <w:rsid w:val="00987CEE"/>
    <w:rsid w:val="009905DE"/>
    <w:rsid w:val="00990C19"/>
    <w:rsid w:val="00990EB2"/>
    <w:rsid w:val="00991CC7"/>
    <w:rsid w:val="00991D80"/>
    <w:rsid w:val="00991EA5"/>
    <w:rsid w:val="009920AC"/>
    <w:rsid w:val="009923F6"/>
    <w:rsid w:val="00992863"/>
    <w:rsid w:val="00992AD4"/>
    <w:rsid w:val="00992B33"/>
    <w:rsid w:val="00992B8E"/>
    <w:rsid w:val="009945E8"/>
    <w:rsid w:val="00994FC7"/>
    <w:rsid w:val="009959BD"/>
    <w:rsid w:val="00996363"/>
    <w:rsid w:val="00996F08"/>
    <w:rsid w:val="00997309"/>
    <w:rsid w:val="00997DE4"/>
    <w:rsid w:val="009A0338"/>
    <w:rsid w:val="009A034D"/>
    <w:rsid w:val="009A055F"/>
    <w:rsid w:val="009A0F7D"/>
    <w:rsid w:val="009A1248"/>
    <w:rsid w:val="009A1344"/>
    <w:rsid w:val="009A1365"/>
    <w:rsid w:val="009A14FA"/>
    <w:rsid w:val="009A197F"/>
    <w:rsid w:val="009A20BC"/>
    <w:rsid w:val="009A24FB"/>
    <w:rsid w:val="009A26E1"/>
    <w:rsid w:val="009A28DA"/>
    <w:rsid w:val="009A2CF1"/>
    <w:rsid w:val="009A3ADC"/>
    <w:rsid w:val="009A3C08"/>
    <w:rsid w:val="009A4882"/>
    <w:rsid w:val="009A4AA5"/>
    <w:rsid w:val="009A500C"/>
    <w:rsid w:val="009A55FF"/>
    <w:rsid w:val="009A57CD"/>
    <w:rsid w:val="009A5D5A"/>
    <w:rsid w:val="009A5DEE"/>
    <w:rsid w:val="009A6277"/>
    <w:rsid w:val="009A6451"/>
    <w:rsid w:val="009A6783"/>
    <w:rsid w:val="009A73C8"/>
    <w:rsid w:val="009A76E5"/>
    <w:rsid w:val="009A7AFF"/>
    <w:rsid w:val="009A7D13"/>
    <w:rsid w:val="009B0472"/>
    <w:rsid w:val="009B0DA6"/>
    <w:rsid w:val="009B11C6"/>
    <w:rsid w:val="009B1362"/>
    <w:rsid w:val="009B15B7"/>
    <w:rsid w:val="009B1A87"/>
    <w:rsid w:val="009B21EE"/>
    <w:rsid w:val="009B2247"/>
    <w:rsid w:val="009B2576"/>
    <w:rsid w:val="009B297F"/>
    <w:rsid w:val="009B31C1"/>
    <w:rsid w:val="009B3D52"/>
    <w:rsid w:val="009B4548"/>
    <w:rsid w:val="009B4699"/>
    <w:rsid w:val="009B4E55"/>
    <w:rsid w:val="009B506D"/>
    <w:rsid w:val="009B55EE"/>
    <w:rsid w:val="009B5882"/>
    <w:rsid w:val="009B6452"/>
    <w:rsid w:val="009B70E8"/>
    <w:rsid w:val="009C0631"/>
    <w:rsid w:val="009C0C86"/>
    <w:rsid w:val="009C1008"/>
    <w:rsid w:val="009C1809"/>
    <w:rsid w:val="009C1AFF"/>
    <w:rsid w:val="009C218C"/>
    <w:rsid w:val="009C21E3"/>
    <w:rsid w:val="009C222F"/>
    <w:rsid w:val="009C25F1"/>
    <w:rsid w:val="009C2C60"/>
    <w:rsid w:val="009C372E"/>
    <w:rsid w:val="009C3B12"/>
    <w:rsid w:val="009C3DBD"/>
    <w:rsid w:val="009C3EC8"/>
    <w:rsid w:val="009C4186"/>
    <w:rsid w:val="009C47F5"/>
    <w:rsid w:val="009C4C4F"/>
    <w:rsid w:val="009C53AE"/>
    <w:rsid w:val="009C59C1"/>
    <w:rsid w:val="009C5AD0"/>
    <w:rsid w:val="009C6134"/>
    <w:rsid w:val="009C6703"/>
    <w:rsid w:val="009C69CD"/>
    <w:rsid w:val="009C6D2B"/>
    <w:rsid w:val="009C7301"/>
    <w:rsid w:val="009C788F"/>
    <w:rsid w:val="009C79AB"/>
    <w:rsid w:val="009C7ACB"/>
    <w:rsid w:val="009C7EF2"/>
    <w:rsid w:val="009D135A"/>
    <w:rsid w:val="009D1A50"/>
    <w:rsid w:val="009D2F15"/>
    <w:rsid w:val="009D321C"/>
    <w:rsid w:val="009D37C6"/>
    <w:rsid w:val="009D3F25"/>
    <w:rsid w:val="009D4134"/>
    <w:rsid w:val="009D4210"/>
    <w:rsid w:val="009D4A53"/>
    <w:rsid w:val="009D4B3F"/>
    <w:rsid w:val="009D500B"/>
    <w:rsid w:val="009D57AF"/>
    <w:rsid w:val="009D5899"/>
    <w:rsid w:val="009D5EFF"/>
    <w:rsid w:val="009D648F"/>
    <w:rsid w:val="009D737C"/>
    <w:rsid w:val="009D7811"/>
    <w:rsid w:val="009D7EC6"/>
    <w:rsid w:val="009E0313"/>
    <w:rsid w:val="009E1372"/>
    <w:rsid w:val="009E1E04"/>
    <w:rsid w:val="009E1FF9"/>
    <w:rsid w:val="009E31F4"/>
    <w:rsid w:val="009E4179"/>
    <w:rsid w:val="009E4242"/>
    <w:rsid w:val="009E4732"/>
    <w:rsid w:val="009E57E8"/>
    <w:rsid w:val="009E59F4"/>
    <w:rsid w:val="009E5D79"/>
    <w:rsid w:val="009E7266"/>
    <w:rsid w:val="009E7B1E"/>
    <w:rsid w:val="009E7D74"/>
    <w:rsid w:val="009F0190"/>
    <w:rsid w:val="009F01B8"/>
    <w:rsid w:val="009F047C"/>
    <w:rsid w:val="009F0B0F"/>
    <w:rsid w:val="009F0F0E"/>
    <w:rsid w:val="009F1217"/>
    <w:rsid w:val="009F1CDD"/>
    <w:rsid w:val="009F1D5A"/>
    <w:rsid w:val="009F1DEF"/>
    <w:rsid w:val="009F2418"/>
    <w:rsid w:val="009F2588"/>
    <w:rsid w:val="009F36C5"/>
    <w:rsid w:val="009F3CE4"/>
    <w:rsid w:val="009F3D5F"/>
    <w:rsid w:val="009F51A2"/>
    <w:rsid w:val="009F5F4C"/>
    <w:rsid w:val="009F6D94"/>
    <w:rsid w:val="009F7480"/>
    <w:rsid w:val="009F7689"/>
    <w:rsid w:val="009F7EC1"/>
    <w:rsid w:val="00A00170"/>
    <w:rsid w:val="00A00BB2"/>
    <w:rsid w:val="00A013B0"/>
    <w:rsid w:val="00A01E51"/>
    <w:rsid w:val="00A03C6A"/>
    <w:rsid w:val="00A04285"/>
    <w:rsid w:val="00A04494"/>
    <w:rsid w:val="00A04767"/>
    <w:rsid w:val="00A0546E"/>
    <w:rsid w:val="00A0551C"/>
    <w:rsid w:val="00A05BB8"/>
    <w:rsid w:val="00A06295"/>
    <w:rsid w:val="00A06427"/>
    <w:rsid w:val="00A076BA"/>
    <w:rsid w:val="00A121A7"/>
    <w:rsid w:val="00A121BF"/>
    <w:rsid w:val="00A12416"/>
    <w:rsid w:val="00A136C6"/>
    <w:rsid w:val="00A136CE"/>
    <w:rsid w:val="00A13755"/>
    <w:rsid w:val="00A13A51"/>
    <w:rsid w:val="00A13A89"/>
    <w:rsid w:val="00A13AA8"/>
    <w:rsid w:val="00A13FE3"/>
    <w:rsid w:val="00A14158"/>
    <w:rsid w:val="00A14256"/>
    <w:rsid w:val="00A146AA"/>
    <w:rsid w:val="00A14BAC"/>
    <w:rsid w:val="00A14D5C"/>
    <w:rsid w:val="00A153D0"/>
    <w:rsid w:val="00A154F9"/>
    <w:rsid w:val="00A158CC"/>
    <w:rsid w:val="00A15D6B"/>
    <w:rsid w:val="00A16271"/>
    <w:rsid w:val="00A1666B"/>
    <w:rsid w:val="00A16954"/>
    <w:rsid w:val="00A17BA4"/>
    <w:rsid w:val="00A207DC"/>
    <w:rsid w:val="00A20CEB"/>
    <w:rsid w:val="00A21118"/>
    <w:rsid w:val="00A219FC"/>
    <w:rsid w:val="00A21F8C"/>
    <w:rsid w:val="00A22284"/>
    <w:rsid w:val="00A22977"/>
    <w:rsid w:val="00A23A82"/>
    <w:rsid w:val="00A23B89"/>
    <w:rsid w:val="00A241F9"/>
    <w:rsid w:val="00A24437"/>
    <w:rsid w:val="00A24862"/>
    <w:rsid w:val="00A252B6"/>
    <w:rsid w:val="00A2544C"/>
    <w:rsid w:val="00A25767"/>
    <w:rsid w:val="00A25FFF"/>
    <w:rsid w:val="00A2607B"/>
    <w:rsid w:val="00A26CCB"/>
    <w:rsid w:val="00A27980"/>
    <w:rsid w:val="00A27A38"/>
    <w:rsid w:val="00A27B3B"/>
    <w:rsid w:val="00A27C3C"/>
    <w:rsid w:val="00A27D03"/>
    <w:rsid w:val="00A27DB4"/>
    <w:rsid w:val="00A30E89"/>
    <w:rsid w:val="00A314A0"/>
    <w:rsid w:val="00A31598"/>
    <w:rsid w:val="00A319C1"/>
    <w:rsid w:val="00A31ADE"/>
    <w:rsid w:val="00A31C7D"/>
    <w:rsid w:val="00A320DB"/>
    <w:rsid w:val="00A3249C"/>
    <w:rsid w:val="00A32A75"/>
    <w:rsid w:val="00A33C93"/>
    <w:rsid w:val="00A3410E"/>
    <w:rsid w:val="00A35ACD"/>
    <w:rsid w:val="00A35AFF"/>
    <w:rsid w:val="00A36A84"/>
    <w:rsid w:val="00A370B4"/>
    <w:rsid w:val="00A37836"/>
    <w:rsid w:val="00A37C79"/>
    <w:rsid w:val="00A40288"/>
    <w:rsid w:val="00A406E6"/>
    <w:rsid w:val="00A409A3"/>
    <w:rsid w:val="00A41771"/>
    <w:rsid w:val="00A41B17"/>
    <w:rsid w:val="00A421B2"/>
    <w:rsid w:val="00A42796"/>
    <w:rsid w:val="00A4292D"/>
    <w:rsid w:val="00A42E17"/>
    <w:rsid w:val="00A4329A"/>
    <w:rsid w:val="00A4334A"/>
    <w:rsid w:val="00A43DB0"/>
    <w:rsid w:val="00A43F59"/>
    <w:rsid w:val="00A443E2"/>
    <w:rsid w:val="00A44D4F"/>
    <w:rsid w:val="00A450A0"/>
    <w:rsid w:val="00A45B2B"/>
    <w:rsid w:val="00A45CC2"/>
    <w:rsid w:val="00A50E22"/>
    <w:rsid w:val="00A5145B"/>
    <w:rsid w:val="00A51586"/>
    <w:rsid w:val="00A52936"/>
    <w:rsid w:val="00A52EE9"/>
    <w:rsid w:val="00A53746"/>
    <w:rsid w:val="00A54141"/>
    <w:rsid w:val="00A541FD"/>
    <w:rsid w:val="00A54811"/>
    <w:rsid w:val="00A54BD8"/>
    <w:rsid w:val="00A54CB9"/>
    <w:rsid w:val="00A551E5"/>
    <w:rsid w:val="00A55308"/>
    <w:rsid w:val="00A55987"/>
    <w:rsid w:val="00A560B3"/>
    <w:rsid w:val="00A56190"/>
    <w:rsid w:val="00A56340"/>
    <w:rsid w:val="00A57A69"/>
    <w:rsid w:val="00A57C92"/>
    <w:rsid w:val="00A57F82"/>
    <w:rsid w:val="00A608B7"/>
    <w:rsid w:val="00A60FE1"/>
    <w:rsid w:val="00A6122A"/>
    <w:rsid w:val="00A61836"/>
    <w:rsid w:val="00A61853"/>
    <w:rsid w:val="00A618C6"/>
    <w:rsid w:val="00A62A4D"/>
    <w:rsid w:val="00A62CC5"/>
    <w:rsid w:val="00A6317B"/>
    <w:rsid w:val="00A63184"/>
    <w:rsid w:val="00A63BD6"/>
    <w:rsid w:val="00A63DF1"/>
    <w:rsid w:val="00A64096"/>
    <w:rsid w:val="00A6410C"/>
    <w:rsid w:val="00A6435A"/>
    <w:rsid w:val="00A647CD"/>
    <w:rsid w:val="00A6560B"/>
    <w:rsid w:val="00A65C42"/>
    <w:rsid w:val="00A65EF7"/>
    <w:rsid w:val="00A66396"/>
    <w:rsid w:val="00A671D1"/>
    <w:rsid w:val="00A67879"/>
    <w:rsid w:val="00A67EF5"/>
    <w:rsid w:val="00A704EA"/>
    <w:rsid w:val="00A7234D"/>
    <w:rsid w:val="00A72E28"/>
    <w:rsid w:val="00A738B1"/>
    <w:rsid w:val="00A74535"/>
    <w:rsid w:val="00A754DD"/>
    <w:rsid w:val="00A75510"/>
    <w:rsid w:val="00A75723"/>
    <w:rsid w:val="00A75E47"/>
    <w:rsid w:val="00A766AD"/>
    <w:rsid w:val="00A76961"/>
    <w:rsid w:val="00A76BFB"/>
    <w:rsid w:val="00A77663"/>
    <w:rsid w:val="00A8122B"/>
    <w:rsid w:val="00A81726"/>
    <w:rsid w:val="00A81A20"/>
    <w:rsid w:val="00A81B8D"/>
    <w:rsid w:val="00A81EC8"/>
    <w:rsid w:val="00A82EDC"/>
    <w:rsid w:val="00A82FA9"/>
    <w:rsid w:val="00A83366"/>
    <w:rsid w:val="00A83DDC"/>
    <w:rsid w:val="00A83F37"/>
    <w:rsid w:val="00A84018"/>
    <w:rsid w:val="00A8418F"/>
    <w:rsid w:val="00A842A3"/>
    <w:rsid w:val="00A84B94"/>
    <w:rsid w:val="00A84BED"/>
    <w:rsid w:val="00A8536F"/>
    <w:rsid w:val="00A857C4"/>
    <w:rsid w:val="00A85AF6"/>
    <w:rsid w:val="00A85CD9"/>
    <w:rsid w:val="00A85E27"/>
    <w:rsid w:val="00A86D6F"/>
    <w:rsid w:val="00A86E3E"/>
    <w:rsid w:val="00A86EE2"/>
    <w:rsid w:val="00A874D2"/>
    <w:rsid w:val="00A87BAE"/>
    <w:rsid w:val="00A90976"/>
    <w:rsid w:val="00A913A1"/>
    <w:rsid w:val="00A91ACB"/>
    <w:rsid w:val="00A91AF5"/>
    <w:rsid w:val="00A92584"/>
    <w:rsid w:val="00A925A7"/>
    <w:rsid w:val="00A925DB"/>
    <w:rsid w:val="00A930BB"/>
    <w:rsid w:val="00A933F4"/>
    <w:rsid w:val="00A93DC6"/>
    <w:rsid w:val="00A94354"/>
    <w:rsid w:val="00A94796"/>
    <w:rsid w:val="00A94CEF"/>
    <w:rsid w:val="00A9501F"/>
    <w:rsid w:val="00A951AC"/>
    <w:rsid w:val="00A951C2"/>
    <w:rsid w:val="00A95452"/>
    <w:rsid w:val="00A95DFD"/>
    <w:rsid w:val="00A95EE0"/>
    <w:rsid w:val="00A96EF6"/>
    <w:rsid w:val="00AA0925"/>
    <w:rsid w:val="00AA096E"/>
    <w:rsid w:val="00AA1293"/>
    <w:rsid w:val="00AA14C3"/>
    <w:rsid w:val="00AA188D"/>
    <w:rsid w:val="00AA3EDF"/>
    <w:rsid w:val="00AA411A"/>
    <w:rsid w:val="00AA4220"/>
    <w:rsid w:val="00AA4239"/>
    <w:rsid w:val="00AA4D46"/>
    <w:rsid w:val="00AA54AE"/>
    <w:rsid w:val="00AA5F04"/>
    <w:rsid w:val="00AA6816"/>
    <w:rsid w:val="00AA69E5"/>
    <w:rsid w:val="00AA6D4E"/>
    <w:rsid w:val="00AA73D0"/>
    <w:rsid w:val="00AA75CE"/>
    <w:rsid w:val="00AB023A"/>
    <w:rsid w:val="00AB0C43"/>
    <w:rsid w:val="00AB1082"/>
    <w:rsid w:val="00AB1098"/>
    <w:rsid w:val="00AB1102"/>
    <w:rsid w:val="00AB173C"/>
    <w:rsid w:val="00AB1B38"/>
    <w:rsid w:val="00AB1E82"/>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030"/>
    <w:rsid w:val="00AC1A14"/>
    <w:rsid w:val="00AC2121"/>
    <w:rsid w:val="00AC2A94"/>
    <w:rsid w:val="00AC322C"/>
    <w:rsid w:val="00AC33E2"/>
    <w:rsid w:val="00AC3674"/>
    <w:rsid w:val="00AC3F97"/>
    <w:rsid w:val="00AC4466"/>
    <w:rsid w:val="00AC4A20"/>
    <w:rsid w:val="00AC4FEA"/>
    <w:rsid w:val="00AC5213"/>
    <w:rsid w:val="00AC53F3"/>
    <w:rsid w:val="00AC584E"/>
    <w:rsid w:val="00AC5B6E"/>
    <w:rsid w:val="00AC5E1A"/>
    <w:rsid w:val="00AC70F7"/>
    <w:rsid w:val="00AC7B80"/>
    <w:rsid w:val="00AC7D80"/>
    <w:rsid w:val="00AD073E"/>
    <w:rsid w:val="00AD0A32"/>
    <w:rsid w:val="00AD1442"/>
    <w:rsid w:val="00AD14AB"/>
    <w:rsid w:val="00AD1B73"/>
    <w:rsid w:val="00AD20ED"/>
    <w:rsid w:val="00AD20FA"/>
    <w:rsid w:val="00AD26B9"/>
    <w:rsid w:val="00AD2F04"/>
    <w:rsid w:val="00AD2FE7"/>
    <w:rsid w:val="00AD30DD"/>
    <w:rsid w:val="00AD3BC2"/>
    <w:rsid w:val="00AD3C4C"/>
    <w:rsid w:val="00AD4264"/>
    <w:rsid w:val="00AD4434"/>
    <w:rsid w:val="00AD4D17"/>
    <w:rsid w:val="00AD5004"/>
    <w:rsid w:val="00AD5334"/>
    <w:rsid w:val="00AD53AA"/>
    <w:rsid w:val="00AD6826"/>
    <w:rsid w:val="00AD72BC"/>
    <w:rsid w:val="00AD79BF"/>
    <w:rsid w:val="00AD7C84"/>
    <w:rsid w:val="00AE07E1"/>
    <w:rsid w:val="00AE1449"/>
    <w:rsid w:val="00AE1D52"/>
    <w:rsid w:val="00AE2133"/>
    <w:rsid w:val="00AE2AD5"/>
    <w:rsid w:val="00AE3344"/>
    <w:rsid w:val="00AE43CD"/>
    <w:rsid w:val="00AE43F4"/>
    <w:rsid w:val="00AE5099"/>
    <w:rsid w:val="00AE50D3"/>
    <w:rsid w:val="00AE606A"/>
    <w:rsid w:val="00AE6F21"/>
    <w:rsid w:val="00AF013B"/>
    <w:rsid w:val="00AF0A66"/>
    <w:rsid w:val="00AF0CF8"/>
    <w:rsid w:val="00AF1658"/>
    <w:rsid w:val="00AF262C"/>
    <w:rsid w:val="00AF2A5A"/>
    <w:rsid w:val="00AF415A"/>
    <w:rsid w:val="00AF44F2"/>
    <w:rsid w:val="00AF4950"/>
    <w:rsid w:val="00AF53AB"/>
    <w:rsid w:val="00AF53BA"/>
    <w:rsid w:val="00AF64D9"/>
    <w:rsid w:val="00AF69B4"/>
    <w:rsid w:val="00AF717B"/>
    <w:rsid w:val="00B00A2E"/>
    <w:rsid w:val="00B00CD0"/>
    <w:rsid w:val="00B00D77"/>
    <w:rsid w:val="00B01138"/>
    <w:rsid w:val="00B0117B"/>
    <w:rsid w:val="00B011BD"/>
    <w:rsid w:val="00B01283"/>
    <w:rsid w:val="00B0153C"/>
    <w:rsid w:val="00B0269B"/>
    <w:rsid w:val="00B02A46"/>
    <w:rsid w:val="00B035B9"/>
    <w:rsid w:val="00B03EBB"/>
    <w:rsid w:val="00B04DD4"/>
    <w:rsid w:val="00B05993"/>
    <w:rsid w:val="00B060CD"/>
    <w:rsid w:val="00B0686C"/>
    <w:rsid w:val="00B06E97"/>
    <w:rsid w:val="00B102AD"/>
    <w:rsid w:val="00B10681"/>
    <w:rsid w:val="00B10B50"/>
    <w:rsid w:val="00B1149B"/>
    <w:rsid w:val="00B116D4"/>
    <w:rsid w:val="00B12191"/>
    <w:rsid w:val="00B12F04"/>
    <w:rsid w:val="00B13082"/>
    <w:rsid w:val="00B134E7"/>
    <w:rsid w:val="00B13A79"/>
    <w:rsid w:val="00B14075"/>
    <w:rsid w:val="00B14FC0"/>
    <w:rsid w:val="00B159F7"/>
    <w:rsid w:val="00B16524"/>
    <w:rsid w:val="00B165E7"/>
    <w:rsid w:val="00B16E86"/>
    <w:rsid w:val="00B170A8"/>
    <w:rsid w:val="00B20364"/>
    <w:rsid w:val="00B20E6F"/>
    <w:rsid w:val="00B211F2"/>
    <w:rsid w:val="00B2130C"/>
    <w:rsid w:val="00B215D0"/>
    <w:rsid w:val="00B21EDE"/>
    <w:rsid w:val="00B222B9"/>
    <w:rsid w:val="00B2244B"/>
    <w:rsid w:val="00B226A9"/>
    <w:rsid w:val="00B2300D"/>
    <w:rsid w:val="00B2303C"/>
    <w:rsid w:val="00B230F6"/>
    <w:rsid w:val="00B23139"/>
    <w:rsid w:val="00B232D6"/>
    <w:rsid w:val="00B23307"/>
    <w:rsid w:val="00B23539"/>
    <w:rsid w:val="00B23551"/>
    <w:rsid w:val="00B24DC8"/>
    <w:rsid w:val="00B25335"/>
    <w:rsid w:val="00B25CBD"/>
    <w:rsid w:val="00B26391"/>
    <w:rsid w:val="00B26A06"/>
    <w:rsid w:val="00B27AD5"/>
    <w:rsid w:val="00B27F3D"/>
    <w:rsid w:val="00B30A36"/>
    <w:rsid w:val="00B30B04"/>
    <w:rsid w:val="00B30E74"/>
    <w:rsid w:val="00B3108F"/>
    <w:rsid w:val="00B3114E"/>
    <w:rsid w:val="00B3148D"/>
    <w:rsid w:val="00B31CC5"/>
    <w:rsid w:val="00B33D79"/>
    <w:rsid w:val="00B33F59"/>
    <w:rsid w:val="00B34483"/>
    <w:rsid w:val="00B34A00"/>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48A"/>
    <w:rsid w:val="00B46554"/>
    <w:rsid w:val="00B466F0"/>
    <w:rsid w:val="00B467BB"/>
    <w:rsid w:val="00B46AD1"/>
    <w:rsid w:val="00B47E3B"/>
    <w:rsid w:val="00B503B4"/>
    <w:rsid w:val="00B50892"/>
    <w:rsid w:val="00B50D91"/>
    <w:rsid w:val="00B50EE3"/>
    <w:rsid w:val="00B51057"/>
    <w:rsid w:val="00B511ED"/>
    <w:rsid w:val="00B51602"/>
    <w:rsid w:val="00B51F21"/>
    <w:rsid w:val="00B52273"/>
    <w:rsid w:val="00B52540"/>
    <w:rsid w:val="00B5371B"/>
    <w:rsid w:val="00B5399D"/>
    <w:rsid w:val="00B53C34"/>
    <w:rsid w:val="00B53F0D"/>
    <w:rsid w:val="00B542A4"/>
    <w:rsid w:val="00B54811"/>
    <w:rsid w:val="00B5657A"/>
    <w:rsid w:val="00B56B84"/>
    <w:rsid w:val="00B57961"/>
    <w:rsid w:val="00B57C56"/>
    <w:rsid w:val="00B61614"/>
    <w:rsid w:val="00B61672"/>
    <w:rsid w:val="00B61B8F"/>
    <w:rsid w:val="00B62488"/>
    <w:rsid w:val="00B628A4"/>
    <w:rsid w:val="00B62D2F"/>
    <w:rsid w:val="00B62E27"/>
    <w:rsid w:val="00B64774"/>
    <w:rsid w:val="00B64E06"/>
    <w:rsid w:val="00B65A6A"/>
    <w:rsid w:val="00B65CB5"/>
    <w:rsid w:val="00B65D4A"/>
    <w:rsid w:val="00B65E12"/>
    <w:rsid w:val="00B668FC"/>
    <w:rsid w:val="00B66B65"/>
    <w:rsid w:val="00B66BB3"/>
    <w:rsid w:val="00B67E57"/>
    <w:rsid w:val="00B67EC2"/>
    <w:rsid w:val="00B7024C"/>
    <w:rsid w:val="00B70EBF"/>
    <w:rsid w:val="00B70EF2"/>
    <w:rsid w:val="00B70F06"/>
    <w:rsid w:val="00B7145B"/>
    <w:rsid w:val="00B71881"/>
    <w:rsid w:val="00B72FA4"/>
    <w:rsid w:val="00B7347B"/>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8B5"/>
    <w:rsid w:val="00B80BF0"/>
    <w:rsid w:val="00B80E48"/>
    <w:rsid w:val="00B810CD"/>
    <w:rsid w:val="00B81196"/>
    <w:rsid w:val="00B81393"/>
    <w:rsid w:val="00B8158A"/>
    <w:rsid w:val="00B81607"/>
    <w:rsid w:val="00B81787"/>
    <w:rsid w:val="00B81E23"/>
    <w:rsid w:val="00B8280A"/>
    <w:rsid w:val="00B83280"/>
    <w:rsid w:val="00B83638"/>
    <w:rsid w:val="00B838AA"/>
    <w:rsid w:val="00B83907"/>
    <w:rsid w:val="00B839BC"/>
    <w:rsid w:val="00B84400"/>
    <w:rsid w:val="00B84738"/>
    <w:rsid w:val="00B84B83"/>
    <w:rsid w:val="00B85057"/>
    <w:rsid w:val="00B85087"/>
    <w:rsid w:val="00B853F9"/>
    <w:rsid w:val="00B860D7"/>
    <w:rsid w:val="00B868DC"/>
    <w:rsid w:val="00B86FAD"/>
    <w:rsid w:val="00B87B8A"/>
    <w:rsid w:val="00B9190B"/>
    <w:rsid w:val="00B922DC"/>
    <w:rsid w:val="00B92342"/>
    <w:rsid w:val="00B92412"/>
    <w:rsid w:val="00B92971"/>
    <w:rsid w:val="00B92D1A"/>
    <w:rsid w:val="00B93445"/>
    <w:rsid w:val="00B939A1"/>
    <w:rsid w:val="00B93B87"/>
    <w:rsid w:val="00B9431E"/>
    <w:rsid w:val="00B9465D"/>
    <w:rsid w:val="00B9473D"/>
    <w:rsid w:val="00B94881"/>
    <w:rsid w:val="00B94C4F"/>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1F8"/>
    <w:rsid w:val="00BA1434"/>
    <w:rsid w:val="00BA1865"/>
    <w:rsid w:val="00BA3212"/>
    <w:rsid w:val="00BA3B4B"/>
    <w:rsid w:val="00BA40BE"/>
    <w:rsid w:val="00BA4564"/>
    <w:rsid w:val="00BA467B"/>
    <w:rsid w:val="00BA4842"/>
    <w:rsid w:val="00BA4D41"/>
    <w:rsid w:val="00BA58AF"/>
    <w:rsid w:val="00BA58BB"/>
    <w:rsid w:val="00BA67FC"/>
    <w:rsid w:val="00BA6B8E"/>
    <w:rsid w:val="00BA7285"/>
    <w:rsid w:val="00BA7BE8"/>
    <w:rsid w:val="00BB01AF"/>
    <w:rsid w:val="00BB08F7"/>
    <w:rsid w:val="00BB0BA7"/>
    <w:rsid w:val="00BB0CA1"/>
    <w:rsid w:val="00BB133D"/>
    <w:rsid w:val="00BB1924"/>
    <w:rsid w:val="00BB26EB"/>
    <w:rsid w:val="00BB2C15"/>
    <w:rsid w:val="00BB3C8A"/>
    <w:rsid w:val="00BB4049"/>
    <w:rsid w:val="00BB5E0A"/>
    <w:rsid w:val="00BB6EA6"/>
    <w:rsid w:val="00BB7AF7"/>
    <w:rsid w:val="00BC00C1"/>
    <w:rsid w:val="00BC0230"/>
    <w:rsid w:val="00BC02CD"/>
    <w:rsid w:val="00BC0688"/>
    <w:rsid w:val="00BC1478"/>
    <w:rsid w:val="00BC1BFE"/>
    <w:rsid w:val="00BC2264"/>
    <w:rsid w:val="00BC2C3A"/>
    <w:rsid w:val="00BC3CE2"/>
    <w:rsid w:val="00BC3E3B"/>
    <w:rsid w:val="00BC450A"/>
    <w:rsid w:val="00BC52DE"/>
    <w:rsid w:val="00BC5902"/>
    <w:rsid w:val="00BC66E0"/>
    <w:rsid w:val="00BC69C6"/>
    <w:rsid w:val="00BC7775"/>
    <w:rsid w:val="00BC7956"/>
    <w:rsid w:val="00BD02E6"/>
    <w:rsid w:val="00BD065D"/>
    <w:rsid w:val="00BD0CF8"/>
    <w:rsid w:val="00BD0DDA"/>
    <w:rsid w:val="00BD1252"/>
    <w:rsid w:val="00BD1469"/>
    <w:rsid w:val="00BD154F"/>
    <w:rsid w:val="00BD1FF6"/>
    <w:rsid w:val="00BD2256"/>
    <w:rsid w:val="00BD24B6"/>
    <w:rsid w:val="00BD3080"/>
    <w:rsid w:val="00BD3124"/>
    <w:rsid w:val="00BD316A"/>
    <w:rsid w:val="00BD33EC"/>
    <w:rsid w:val="00BD3A94"/>
    <w:rsid w:val="00BD43BD"/>
    <w:rsid w:val="00BD4CF5"/>
    <w:rsid w:val="00BD4E2B"/>
    <w:rsid w:val="00BD5C38"/>
    <w:rsid w:val="00BD63D6"/>
    <w:rsid w:val="00BD6C08"/>
    <w:rsid w:val="00BD7247"/>
    <w:rsid w:val="00BD72A6"/>
    <w:rsid w:val="00BD762F"/>
    <w:rsid w:val="00BD7D70"/>
    <w:rsid w:val="00BE087F"/>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59DD"/>
    <w:rsid w:val="00BE5BE1"/>
    <w:rsid w:val="00BE64BF"/>
    <w:rsid w:val="00BE654A"/>
    <w:rsid w:val="00BE6653"/>
    <w:rsid w:val="00BE7B46"/>
    <w:rsid w:val="00BE7D9A"/>
    <w:rsid w:val="00BF02D4"/>
    <w:rsid w:val="00BF0724"/>
    <w:rsid w:val="00BF15B9"/>
    <w:rsid w:val="00BF1896"/>
    <w:rsid w:val="00BF2673"/>
    <w:rsid w:val="00BF324E"/>
    <w:rsid w:val="00BF329F"/>
    <w:rsid w:val="00BF3693"/>
    <w:rsid w:val="00BF45A7"/>
    <w:rsid w:val="00BF4674"/>
    <w:rsid w:val="00BF47B7"/>
    <w:rsid w:val="00BF5020"/>
    <w:rsid w:val="00BF55BA"/>
    <w:rsid w:val="00BF58F2"/>
    <w:rsid w:val="00BF590D"/>
    <w:rsid w:val="00BF5981"/>
    <w:rsid w:val="00BF5F58"/>
    <w:rsid w:val="00BF6637"/>
    <w:rsid w:val="00BF756C"/>
    <w:rsid w:val="00C024DF"/>
    <w:rsid w:val="00C028F9"/>
    <w:rsid w:val="00C0308D"/>
    <w:rsid w:val="00C035A7"/>
    <w:rsid w:val="00C0387C"/>
    <w:rsid w:val="00C03D79"/>
    <w:rsid w:val="00C04012"/>
    <w:rsid w:val="00C0465F"/>
    <w:rsid w:val="00C04A2A"/>
    <w:rsid w:val="00C04FA3"/>
    <w:rsid w:val="00C051F1"/>
    <w:rsid w:val="00C05216"/>
    <w:rsid w:val="00C05754"/>
    <w:rsid w:val="00C0586E"/>
    <w:rsid w:val="00C05C1A"/>
    <w:rsid w:val="00C05F6F"/>
    <w:rsid w:val="00C06021"/>
    <w:rsid w:val="00C06091"/>
    <w:rsid w:val="00C068B6"/>
    <w:rsid w:val="00C07269"/>
    <w:rsid w:val="00C075A9"/>
    <w:rsid w:val="00C077A9"/>
    <w:rsid w:val="00C10C63"/>
    <w:rsid w:val="00C10D34"/>
    <w:rsid w:val="00C10DB6"/>
    <w:rsid w:val="00C11612"/>
    <w:rsid w:val="00C11B8C"/>
    <w:rsid w:val="00C12101"/>
    <w:rsid w:val="00C1230F"/>
    <w:rsid w:val="00C12EC3"/>
    <w:rsid w:val="00C134DF"/>
    <w:rsid w:val="00C137E0"/>
    <w:rsid w:val="00C13810"/>
    <w:rsid w:val="00C13934"/>
    <w:rsid w:val="00C13B21"/>
    <w:rsid w:val="00C13BCE"/>
    <w:rsid w:val="00C14234"/>
    <w:rsid w:val="00C14C9F"/>
    <w:rsid w:val="00C155CC"/>
    <w:rsid w:val="00C15941"/>
    <w:rsid w:val="00C15ABB"/>
    <w:rsid w:val="00C160D1"/>
    <w:rsid w:val="00C168BD"/>
    <w:rsid w:val="00C16B20"/>
    <w:rsid w:val="00C16E20"/>
    <w:rsid w:val="00C170CD"/>
    <w:rsid w:val="00C175D6"/>
    <w:rsid w:val="00C17EE4"/>
    <w:rsid w:val="00C2047B"/>
    <w:rsid w:val="00C20A4F"/>
    <w:rsid w:val="00C212A5"/>
    <w:rsid w:val="00C21801"/>
    <w:rsid w:val="00C21EE3"/>
    <w:rsid w:val="00C22FF7"/>
    <w:rsid w:val="00C2304D"/>
    <w:rsid w:val="00C236EB"/>
    <w:rsid w:val="00C23BE9"/>
    <w:rsid w:val="00C24016"/>
    <w:rsid w:val="00C24904"/>
    <w:rsid w:val="00C2541E"/>
    <w:rsid w:val="00C25F86"/>
    <w:rsid w:val="00C2649C"/>
    <w:rsid w:val="00C26623"/>
    <w:rsid w:val="00C26685"/>
    <w:rsid w:val="00C26D74"/>
    <w:rsid w:val="00C30824"/>
    <w:rsid w:val="00C30F87"/>
    <w:rsid w:val="00C31595"/>
    <w:rsid w:val="00C31BD5"/>
    <w:rsid w:val="00C31BF8"/>
    <w:rsid w:val="00C3273C"/>
    <w:rsid w:val="00C32EC2"/>
    <w:rsid w:val="00C3307F"/>
    <w:rsid w:val="00C3319F"/>
    <w:rsid w:val="00C33D18"/>
    <w:rsid w:val="00C33F77"/>
    <w:rsid w:val="00C348FF"/>
    <w:rsid w:val="00C34CC3"/>
    <w:rsid w:val="00C34F30"/>
    <w:rsid w:val="00C363E7"/>
    <w:rsid w:val="00C3640A"/>
    <w:rsid w:val="00C36F96"/>
    <w:rsid w:val="00C3796D"/>
    <w:rsid w:val="00C4006C"/>
    <w:rsid w:val="00C4057F"/>
    <w:rsid w:val="00C40753"/>
    <w:rsid w:val="00C40815"/>
    <w:rsid w:val="00C40B89"/>
    <w:rsid w:val="00C40B90"/>
    <w:rsid w:val="00C41BEB"/>
    <w:rsid w:val="00C427A2"/>
    <w:rsid w:val="00C42E64"/>
    <w:rsid w:val="00C42FF6"/>
    <w:rsid w:val="00C43C61"/>
    <w:rsid w:val="00C43F21"/>
    <w:rsid w:val="00C441C2"/>
    <w:rsid w:val="00C4421D"/>
    <w:rsid w:val="00C46397"/>
    <w:rsid w:val="00C47B24"/>
    <w:rsid w:val="00C50040"/>
    <w:rsid w:val="00C507A3"/>
    <w:rsid w:val="00C5183A"/>
    <w:rsid w:val="00C51B9C"/>
    <w:rsid w:val="00C51BEC"/>
    <w:rsid w:val="00C521AE"/>
    <w:rsid w:val="00C52B13"/>
    <w:rsid w:val="00C54A87"/>
    <w:rsid w:val="00C55428"/>
    <w:rsid w:val="00C55D3D"/>
    <w:rsid w:val="00C55DE1"/>
    <w:rsid w:val="00C56679"/>
    <w:rsid w:val="00C568CE"/>
    <w:rsid w:val="00C56978"/>
    <w:rsid w:val="00C56A7A"/>
    <w:rsid w:val="00C56BC5"/>
    <w:rsid w:val="00C56DB7"/>
    <w:rsid w:val="00C572FF"/>
    <w:rsid w:val="00C57991"/>
    <w:rsid w:val="00C60B64"/>
    <w:rsid w:val="00C60D23"/>
    <w:rsid w:val="00C6101E"/>
    <w:rsid w:val="00C613E0"/>
    <w:rsid w:val="00C615B8"/>
    <w:rsid w:val="00C61AFD"/>
    <w:rsid w:val="00C62D67"/>
    <w:rsid w:val="00C6356B"/>
    <w:rsid w:val="00C64963"/>
    <w:rsid w:val="00C652E2"/>
    <w:rsid w:val="00C653FB"/>
    <w:rsid w:val="00C656E5"/>
    <w:rsid w:val="00C65CBF"/>
    <w:rsid w:val="00C66344"/>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3C0"/>
    <w:rsid w:val="00C72625"/>
    <w:rsid w:val="00C7271D"/>
    <w:rsid w:val="00C72B6C"/>
    <w:rsid w:val="00C7375A"/>
    <w:rsid w:val="00C73FAB"/>
    <w:rsid w:val="00C74CF6"/>
    <w:rsid w:val="00C75A01"/>
    <w:rsid w:val="00C75BCA"/>
    <w:rsid w:val="00C75C66"/>
    <w:rsid w:val="00C75DB6"/>
    <w:rsid w:val="00C76E04"/>
    <w:rsid w:val="00C76FB0"/>
    <w:rsid w:val="00C77D93"/>
    <w:rsid w:val="00C80E58"/>
    <w:rsid w:val="00C81278"/>
    <w:rsid w:val="00C81A2C"/>
    <w:rsid w:val="00C8285E"/>
    <w:rsid w:val="00C82F2D"/>
    <w:rsid w:val="00C83260"/>
    <w:rsid w:val="00C836F0"/>
    <w:rsid w:val="00C8383B"/>
    <w:rsid w:val="00C8398B"/>
    <w:rsid w:val="00C84318"/>
    <w:rsid w:val="00C856BE"/>
    <w:rsid w:val="00C85CAE"/>
    <w:rsid w:val="00C85F2C"/>
    <w:rsid w:val="00C8734C"/>
    <w:rsid w:val="00C87A9E"/>
    <w:rsid w:val="00C904E4"/>
    <w:rsid w:val="00C90BC4"/>
    <w:rsid w:val="00C91633"/>
    <w:rsid w:val="00C935B7"/>
    <w:rsid w:val="00C9382C"/>
    <w:rsid w:val="00C94BAE"/>
    <w:rsid w:val="00C94C71"/>
    <w:rsid w:val="00C94F15"/>
    <w:rsid w:val="00C94F74"/>
    <w:rsid w:val="00C954BD"/>
    <w:rsid w:val="00C95615"/>
    <w:rsid w:val="00C95C3B"/>
    <w:rsid w:val="00C97517"/>
    <w:rsid w:val="00C979BC"/>
    <w:rsid w:val="00C97CC0"/>
    <w:rsid w:val="00C97D75"/>
    <w:rsid w:val="00CA0261"/>
    <w:rsid w:val="00CA04BA"/>
    <w:rsid w:val="00CA136D"/>
    <w:rsid w:val="00CA147B"/>
    <w:rsid w:val="00CA2400"/>
    <w:rsid w:val="00CA24A1"/>
    <w:rsid w:val="00CA2AC9"/>
    <w:rsid w:val="00CA2D7A"/>
    <w:rsid w:val="00CA3BBE"/>
    <w:rsid w:val="00CA3CDB"/>
    <w:rsid w:val="00CA47F5"/>
    <w:rsid w:val="00CA4CA2"/>
    <w:rsid w:val="00CA5368"/>
    <w:rsid w:val="00CA6310"/>
    <w:rsid w:val="00CA6776"/>
    <w:rsid w:val="00CB0113"/>
    <w:rsid w:val="00CB058C"/>
    <w:rsid w:val="00CB0939"/>
    <w:rsid w:val="00CB0BE4"/>
    <w:rsid w:val="00CB121D"/>
    <w:rsid w:val="00CB146E"/>
    <w:rsid w:val="00CB14A4"/>
    <w:rsid w:val="00CB2CCA"/>
    <w:rsid w:val="00CB30D0"/>
    <w:rsid w:val="00CB37A5"/>
    <w:rsid w:val="00CB3C01"/>
    <w:rsid w:val="00CB3EBC"/>
    <w:rsid w:val="00CB44B7"/>
    <w:rsid w:val="00CB493B"/>
    <w:rsid w:val="00CB4EC9"/>
    <w:rsid w:val="00CB5187"/>
    <w:rsid w:val="00CB5211"/>
    <w:rsid w:val="00CB570A"/>
    <w:rsid w:val="00CB679C"/>
    <w:rsid w:val="00CB6A84"/>
    <w:rsid w:val="00CB6A85"/>
    <w:rsid w:val="00CB7121"/>
    <w:rsid w:val="00CB7364"/>
    <w:rsid w:val="00CB7C4A"/>
    <w:rsid w:val="00CB7DD9"/>
    <w:rsid w:val="00CB7ECC"/>
    <w:rsid w:val="00CC00DA"/>
    <w:rsid w:val="00CC0B1E"/>
    <w:rsid w:val="00CC0C76"/>
    <w:rsid w:val="00CC1475"/>
    <w:rsid w:val="00CC1632"/>
    <w:rsid w:val="00CC1DED"/>
    <w:rsid w:val="00CC319E"/>
    <w:rsid w:val="00CC336D"/>
    <w:rsid w:val="00CC340A"/>
    <w:rsid w:val="00CC36E9"/>
    <w:rsid w:val="00CC5AA0"/>
    <w:rsid w:val="00CC669A"/>
    <w:rsid w:val="00CC69B1"/>
    <w:rsid w:val="00CC75B6"/>
    <w:rsid w:val="00CC779B"/>
    <w:rsid w:val="00CD2730"/>
    <w:rsid w:val="00CD28B2"/>
    <w:rsid w:val="00CD2DD0"/>
    <w:rsid w:val="00CD2E3B"/>
    <w:rsid w:val="00CD33EE"/>
    <w:rsid w:val="00CD3776"/>
    <w:rsid w:val="00CD4D65"/>
    <w:rsid w:val="00CD55B1"/>
    <w:rsid w:val="00CD5680"/>
    <w:rsid w:val="00CD57E1"/>
    <w:rsid w:val="00CD59A3"/>
    <w:rsid w:val="00CD648D"/>
    <w:rsid w:val="00CD6B80"/>
    <w:rsid w:val="00CD7616"/>
    <w:rsid w:val="00CD775A"/>
    <w:rsid w:val="00CE01B5"/>
    <w:rsid w:val="00CE021F"/>
    <w:rsid w:val="00CE0B98"/>
    <w:rsid w:val="00CE1CD1"/>
    <w:rsid w:val="00CE2312"/>
    <w:rsid w:val="00CE2620"/>
    <w:rsid w:val="00CE336E"/>
    <w:rsid w:val="00CE374F"/>
    <w:rsid w:val="00CE384F"/>
    <w:rsid w:val="00CE3CDF"/>
    <w:rsid w:val="00CE3D08"/>
    <w:rsid w:val="00CE3E07"/>
    <w:rsid w:val="00CE3FEE"/>
    <w:rsid w:val="00CE455E"/>
    <w:rsid w:val="00CE47B3"/>
    <w:rsid w:val="00CE4F0D"/>
    <w:rsid w:val="00CE6640"/>
    <w:rsid w:val="00CE6768"/>
    <w:rsid w:val="00CE68A3"/>
    <w:rsid w:val="00CE7175"/>
    <w:rsid w:val="00CE79A8"/>
    <w:rsid w:val="00CE7E34"/>
    <w:rsid w:val="00CF0639"/>
    <w:rsid w:val="00CF0AE5"/>
    <w:rsid w:val="00CF14A0"/>
    <w:rsid w:val="00CF1737"/>
    <w:rsid w:val="00CF19DF"/>
    <w:rsid w:val="00CF1F8D"/>
    <w:rsid w:val="00CF2172"/>
    <w:rsid w:val="00CF25F6"/>
    <w:rsid w:val="00CF2BBB"/>
    <w:rsid w:val="00CF366B"/>
    <w:rsid w:val="00CF3B6C"/>
    <w:rsid w:val="00CF4074"/>
    <w:rsid w:val="00CF4810"/>
    <w:rsid w:val="00CF4D38"/>
    <w:rsid w:val="00CF4F1F"/>
    <w:rsid w:val="00CF4F47"/>
    <w:rsid w:val="00CF5030"/>
    <w:rsid w:val="00CF6A40"/>
    <w:rsid w:val="00CF6E9D"/>
    <w:rsid w:val="00CF6ED0"/>
    <w:rsid w:val="00CF7193"/>
    <w:rsid w:val="00CF76A0"/>
    <w:rsid w:val="00CF78CE"/>
    <w:rsid w:val="00D0026D"/>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666"/>
    <w:rsid w:val="00D13CB3"/>
    <w:rsid w:val="00D14D12"/>
    <w:rsid w:val="00D14EF2"/>
    <w:rsid w:val="00D15411"/>
    <w:rsid w:val="00D16B43"/>
    <w:rsid w:val="00D171C8"/>
    <w:rsid w:val="00D17C55"/>
    <w:rsid w:val="00D20137"/>
    <w:rsid w:val="00D208E6"/>
    <w:rsid w:val="00D20B09"/>
    <w:rsid w:val="00D21A55"/>
    <w:rsid w:val="00D223FB"/>
    <w:rsid w:val="00D224AD"/>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4B22"/>
    <w:rsid w:val="00D3511A"/>
    <w:rsid w:val="00D35F28"/>
    <w:rsid w:val="00D3672A"/>
    <w:rsid w:val="00D368A2"/>
    <w:rsid w:val="00D368FF"/>
    <w:rsid w:val="00D36D8E"/>
    <w:rsid w:val="00D37142"/>
    <w:rsid w:val="00D372A0"/>
    <w:rsid w:val="00D374D1"/>
    <w:rsid w:val="00D37596"/>
    <w:rsid w:val="00D37899"/>
    <w:rsid w:val="00D37FCE"/>
    <w:rsid w:val="00D40238"/>
    <w:rsid w:val="00D40D79"/>
    <w:rsid w:val="00D4117C"/>
    <w:rsid w:val="00D41258"/>
    <w:rsid w:val="00D432D3"/>
    <w:rsid w:val="00D43430"/>
    <w:rsid w:val="00D43441"/>
    <w:rsid w:val="00D439C3"/>
    <w:rsid w:val="00D43F3D"/>
    <w:rsid w:val="00D449C6"/>
    <w:rsid w:val="00D44A3B"/>
    <w:rsid w:val="00D451A0"/>
    <w:rsid w:val="00D451C2"/>
    <w:rsid w:val="00D45385"/>
    <w:rsid w:val="00D45546"/>
    <w:rsid w:val="00D45C34"/>
    <w:rsid w:val="00D4777F"/>
    <w:rsid w:val="00D478D3"/>
    <w:rsid w:val="00D5062B"/>
    <w:rsid w:val="00D50975"/>
    <w:rsid w:val="00D50B46"/>
    <w:rsid w:val="00D50B72"/>
    <w:rsid w:val="00D51867"/>
    <w:rsid w:val="00D51AC9"/>
    <w:rsid w:val="00D51AD4"/>
    <w:rsid w:val="00D52DBB"/>
    <w:rsid w:val="00D531B6"/>
    <w:rsid w:val="00D53530"/>
    <w:rsid w:val="00D5418D"/>
    <w:rsid w:val="00D541EF"/>
    <w:rsid w:val="00D54B76"/>
    <w:rsid w:val="00D54E08"/>
    <w:rsid w:val="00D5508A"/>
    <w:rsid w:val="00D55828"/>
    <w:rsid w:val="00D55C1D"/>
    <w:rsid w:val="00D55FD4"/>
    <w:rsid w:val="00D56305"/>
    <w:rsid w:val="00D566F1"/>
    <w:rsid w:val="00D57388"/>
    <w:rsid w:val="00D5765B"/>
    <w:rsid w:val="00D601FE"/>
    <w:rsid w:val="00D61A0D"/>
    <w:rsid w:val="00D63F0E"/>
    <w:rsid w:val="00D63F45"/>
    <w:rsid w:val="00D64048"/>
    <w:rsid w:val="00D645A6"/>
    <w:rsid w:val="00D64E9D"/>
    <w:rsid w:val="00D65A11"/>
    <w:rsid w:val="00D65B91"/>
    <w:rsid w:val="00D66659"/>
    <w:rsid w:val="00D66CD5"/>
    <w:rsid w:val="00D6707F"/>
    <w:rsid w:val="00D67145"/>
    <w:rsid w:val="00D70C1D"/>
    <w:rsid w:val="00D70FF2"/>
    <w:rsid w:val="00D7160F"/>
    <w:rsid w:val="00D7197E"/>
    <w:rsid w:val="00D71EB9"/>
    <w:rsid w:val="00D726FD"/>
    <w:rsid w:val="00D72C26"/>
    <w:rsid w:val="00D73288"/>
    <w:rsid w:val="00D73686"/>
    <w:rsid w:val="00D7371E"/>
    <w:rsid w:val="00D73EF2"/>
    <w:rsid w:val="00D741DB"/>
    <w:rsid w:val="00D742A0"/>
    <w:rsid w:val="00D74E88"/>
    <w:rsid w:val="00D75216"/>
    <w:rsid w:val="00D756A7"/>
    <w:rsid w:val="00D75D33"/>
    <w:rsid w:val="00D75E56"/>
    <w:rsid w:val="00D763AE"/>
    <w:rsid w:val="00D76CD8"/>
    <w:rsid w:val="00D77919"/>
    <w:rsid w:val="00D779D4"/>
    <w:rsid w:val="00D8135D"/>
    <w:rsid w:val="00D8158C"/>
    <w:rsid w:val="00D81ED6"/>
    <w:rsid w:val="00D82533"/>
    <w:rsid w:val="00D834FC"/>
    <w:rsid w:val="00D8359E"/>
    <w:rsid w:val="00D8512B"/>
    <w:rsid w:val="00D852FD"/>
    <w:rsid w:val="00D853D6"/>
    <w:rsid w:val="00D857FE"/>
    <w:rsid w:val="00D859D8"/>
    <w:rsid w:val="00D8686B"/>
    <w:rsid w:val="00D86F69"/>
    <w:rsid w:val="00D86F82"/>
    <w:rsid w:val="00D87458"/>
    <w:rsid w:val="00D87A74"/>
    <w:rsid w:val="00D901F7"/>
    <w:rsid w:val="00D90311"/>
    <w:rsid w:val="00D907F2"/>
    <w:rsid w:val="00D910E2"/>
    <w:rsid w:val="00D913F3"/>
    <w:rsid w:val="00D915FF"/>
    <w:rsid w:val="00D91CC6"/>
    <w:rsid w:val="00D92BBF"/>
    <w:rsid w:val="00D933F6"/>
    <w:rsid w:val="00D9398B"/>
    <w:rsid w:val="00D93F68"/>
    <w:rsid w:val="00D94010"/>
    <w:rsid w:val="00D948C4"/>
    <w:rsid w:val="00D94A97"/>
    <w:rsid w:val="00D94E85"/>
    <w:rsid w:val="00D95178"/>
    <w:rsid w:val="00D962CF"/>
    <w:rsid w:val="00D9652E"/>
    <w:rsid w:val="00D96531"/>
    <w:rsid w:val="00DA0A11"/>
    <w:rsid w:val="00DA130C"/>
    <w:rsid w:val="00DA26B3"/>
    <w:rsid w:val="00DA2FCF"/>
    <w:rsid w:val="00DA3113"/>
    <w:rsid w:val="00DA3199"/>
    <w:rsid w:val="00DA38EC"/>
    <w:rsid w:val="00DA3AAC"/>
    <w:rsid w:val="00DA43EB"/>
    <w:rsid w:val="00DA445E"/>
    <w:rsid w:val="00DA465F"/>
    <w:rsid w:val="00DA4823"/>
    <w:rsid w:val="00DA4E2E"/>
    <w:rsid w:val="00DA4E74"/>
    <w:rsid w:val="00DA518C"/>
    <w:rsid w:val="00DA542C"/>
    <w:rsid w:val="00DA5A21"/>
    <w:rsid w:val="00DA5B16"/>
    <w:rsid w:val="00DA602B"/>
    <w:rsid w:val="00DA6B9A"/>
    <w:rsid w:val="00DA6CF1"/>
    <w:rsid w:val="00DA77DE"/>
    <w:rsid w:val="00DB099F"/>
    <w:rsid w:val="00DB1672"/>
    <w:rsid w:val="00DB2AEF"/>
    <w:rsid w:val="00DB2B51"/>
    <w:rsid w:val="00DB341C"/>
    <w:rsid w:val="00DB382B"/>
    <w:rsid w:val="00DB40CF"/>
    <w:rsid w:val="00DB4525"/>
    <w:rsid w:val="00DB47A5"/>
    <w:rsid w:val="00DB4BD3"/>
    <w:rsid w:val="00DB4D17"/>
    <w:rsid w:val="00DB5175"/>
    <w:rsid w:val="00DB614A"/>
    <w:rsid w:val="00DB6DD3"/>
    <w:rsid w:val="00DB7408"/>
    <w:rsid w:val="00DB79CB"/>
    <w:rsid w:val="00DB7CED"/>
    <w:rsid w:val="00DC09FC"/>
    <w:rsid w:val="00DC102C"/>
    <w:rsid w:val="00DC1E1B"/>
    <w:rsid w:val="00DC1EC8"/>
    <w:rsid w:val="00DC23B2"/>
    <w:rsid w:val="00DC2E18"/>
    <w:rsid w:val="00DC30FE"/>
    <w:rsid w:val="00DC3512"/>
    <w:rsid w:val="00DC385E"/>
    <w:rsid w:val="00DC3EC8"/>
    <w:rsid w:val="00DC4068"/>
    <w:rsid w:val="00DC4145"/>
    <w:rsid w:val="00DC493B"/>
    <w:rsid w:val="00DC6E62"/>
    <w:rsid w:val="00DC759F"/>
    <w:rsid w:val="00DD0B51"/>
    <w:rsid w:val="00DD0BE6"/>
    <w:rsid w:val="00DD1707"/>
    <w:rsid w:val="00DD1963"/>
    <w:rsid w:val="00DD1C59"/>
    <w:rsid w:val="00DD263C"/>
    <w:rsid w:val="00DD3272"/>
    <w:rsid w:val="00DD3467"/>
    <w:rsid w:val="00DD45B5"/>
    <w:rsid w:val="00DD474F"/>
    <w:rsid w:val="00DD4834"/>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3E54"/>
    <w:rsid w:val="00DE481E"/>
    <w:rsid w:val="00DE4EA8"/>
    <w:rsid w:val="00DE50FD"/>
    <w:rsid w:val="00DE587D"/>
    <w:rsid w:val="00DE6805"/>
    <w:rsid w:val="00DE7807"/>
    <w:rsid w:val="00DF0D0A"/>
    <w:rsid w:val="00DF1211"/>
    <w:rsid w:val="00DF1385"/>
    <w:rsid w:val="00DF1FB9"/>
    <w:rsid w:val="00DF2469"/>
    <w:rsid w:val="00DF2EB3"/>
    <w:rsid w:val="00DF316E"/>
    <w:rsid w:val="00DF38F4"/>
    <w:rsid w:val="00DF41FB"/>
    <w:rsid w:val="00DF44E2"/>
    <w:rsid w:val="00DF465A"/>
    <w:rsid w:val="00DF58E5"/>
    <w:rsid w:val="00DF5BC6"/>
    <w:rsid w:val="00DF6527"/>
    <w:rsid w:val="00DF79E1"/>
    <w:rsid w:val="00DF7E57"/>
    <w:rsid w:val="00E000D0"/>
    <w:rsid w:val="00E00F2E"/>
    <w:rsid w:val="00E01525"/>
    <w:rsid w:val="00E0160E"/>
    <w:rsid w:val="00E0186E"/>
    <w:rsid w:val="00E01FE1"/>
    <w:rsid w:val="00E024B2"/>
    <w:rsid w:val="00E025CC"/>
    <w:rsid w:val="00E02F55"/>
    <w:rsid w:val="00E02FCC"/>
    <w:rsid w:val="00E03063"/>
    <w:rsid w:val="00E036B3"/>
    <w:rsid w:val="00E044C5"/>
    <w:rsid w:val="00E051B1"/>
    <w:rsid w:val="00E057EA"/>
    <w:rsid w:val="00E05E00"/>
    <w:rsid w:val="00E06357"/>
    <w:rsid w:val="00E0667E"/>
    <w:rsid w:val="00E06F09"/>
    <w:rsid w:val="00E06FAA"/>
    <w:rsid w:val="00E073FE"/>
    <w:rsid w:val="00E078A6"/>
    <w:rsid w:val="00E07916"/>
    <w:rsid w:val="00E07AA2"/>
    <w:rsid w:val="00E1015B"/>
    <w:rsid w:val="00E106AE"/>
    <w:rsid w:val="00E10723"/>
    <w:rsid w:val="00E11236"/>
    <w:rsid w:val="00E1164D"/>
    <w:rsid w:val="00E11A5C"/>
    <w:rsid w:val="00E11CCB"/>
    <w:rsid w:val="00E1223A"/>
    <w:rsid w:val="00E122A9"/>
    <w:rsid w:val="00E12447"/>
    <w:rsid w:val="00E12ABE"/>
    <w:rsid w:val="00E12E0E"/>
    <w:rsid w:val="00E12FC7"/>
    <w:rsid w:val="00E1415F"/>
    <w:rsid w:val="00E15141"/>
    <w:rsid w:val="00E15683"/>
    <w:rsid w:val="00E1603D"/>
    <w:rsid w:val="00E163D8"/>
    <w:rsid w:val="00E17778"/>
    <w:rsid w:val="00E1784D"/>
    <w:rsid w:val="00E17E95"/>
    <w:rsid w:val="00E20A95"/>
    <w:rsid w:val="00E20E02"/>
    <w:rsid w:val="00E20FC9"/>
    <w:rsid w:val="00E21BD1"/>
    <w:rsid w:val="00E22146"/>
    <w:rsid w:val="00E222DF"/>
    <w:rsid w:val="00E2282E"/>
    <w:rsid w:val="00E2294D"/>
    <w:rsid w:val="00E2297A"/>
    <w:rsid w:val="00E229C1"/>
    <w:rsid w:val="00E22C09"/>
    <w:rsid w:val="00E2339C"/>
    <w:rsid w:val="00E238C8"/>
    <w:rsid w:val="00E239E9"/>
    <w:rsid w:val="00E23DA4"/>
    <w:rsid w:val="00E23FAE"/>
    <w:rsid w:val="00E248F0"/>
    <w:rsid w:val="00E254BE"/>
    <w:rsid w:val="00E25A83"/>
    <w:rsid w:val="00E2796A"/>
    <w:rsid w:val="00E30003"/>
    <w:rsid w:val="00E313CE"/>
    <w:rsid w:val="00E31F09"/>
    <w:rsid w:val="00E320DB"/>
    <w:rsid w:val="00E32340"/>
    <w:rsid w:val="00E32733"/>
    <w:rsid w:val="00E331D5"/>
    <w:rsid w:val="00E33AB2"/>
    <w:rsid w:val="00E33B65"/>
    <w:rsid w:val="00E33E69"/>
    <w:rsid w:val="00E3497F"/>
    <w:rsid w:val="00E34E6A"/>
    <w:rsid w:val="00E34F1E"/>
    <w:rsid w:val="00E35359"/>
    <w:rsid w:val="00E35931"/>
    <w:rsid w:val="00E35D96"/>
    <w:rsid w:val="00E35F0A"/>
    <w:rsid w:val="00E363CF"/>
    <w:rsid w:val="00E36C49"/>
    <w:rsid w:val="00E36D49"/>
    <w:rsid w:val="00E36E14"/>
    <w:rsid w:val="00E37673"/>
    <w:rsid w:val="00E408E9"/>
    <w:rsid w:val="00E413F2"/>
    <w:rsid w:val="00E418F1"/>
    <w:rsid w:val="00E419DB"/>
    <w:rsid w:val="00E41C29"/>
    <w:rsid w:val="00E41D45"/>
    <w:rsid w:val="00E4238A"/>
    <w:rsid w:val="00E4324D"/>
    <w:rsid w:val="00E433F1"/>
    <w:rsid w:val="00E4443F"/>
    <w:rsid w:val="00E44935"/>
    <w:rsid w:val="00E4496D"/>
    <w:rsid w:val="00E4579A"/>
    <w:rsid w:val="00E46771"/>
    <w:rsid w:val="00E46958"/>
    <w:rsid w:val="00E46C4C"/>
    <w:rsid w:val="00E46E0B"/>
    <w:rsid w:val="00E471ED"/>
    <w:rsid w:val="00E478DA"/>
    <w:rsid w:val="00E479FF"/>
    <w:rsid w:val="00E47A53"/>
    <w:rsid w:val="00E5076A"/>
    <w:rsid w:val="00E50E1F"/>
    <w:rsid w:val="00E5109D"/>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6596"/>
    <w:rsid w:val="00E77E32"/>
    <w:rsid w:val="00E809C8"/>
    <w:rsid w:val="00E810FF"/>
    <w:rsid w:val="00E8173D"/>
    <w:rsid w:val="00E81A7E"/>
    <w:rsid w:val="00E81B11"/>
    <w:rsid w:val="00E82FC8"/>
    <w:rsid w:val="00E83069"/>
    <w:rsid w:val="00E834BF"/>
    <w:rsid w:val="00E83987"/>
    <w:rsid w:val="00E84CC4"/>
    <w:rsid w:val="00E855B1"/>
    <w:rsid w:val="00E85E67"/>
    <w:rsid w:val="00E86621"/>
    <w:rsid w:val="00E86A0D"/>
    <w:rsid w:val="00E87BD5"/>
    <w:rsid w:val="00E87C5D"/>
    <w:rsid w:val="00E87C9B"/>
    <w:rsid w:val="00E90B12"/>
    <w:rsid w:val="00E90D43"/>
    <w:rsid w:val="00E912B1"/>
    <w:rsid w:val="00E921EF"/>
    <w:rsid w:val="00E927FD"/>
    <w:rsid w:val="00E92BF5"/>
    <w:rsid w:val="00E95897"/>
    <w:rsid w:val="00E95DDA"/>
    <w:rsid w:val="00E972A2"/>
    <w:rsid w:val="00E97A7D"/>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4929"/>
    <w:rsid w:val="00EA4D9C"/>
    <w:rsid w:val="00EA5A78"/>
    <w:rsid w:val="00EA5DE5"/>
    <w:rsid w:val="00EA71D3"/>
    <w:rsid w:val="00EA781C"/>
    <w:rsid w:val="00EB051D"/>
    <w:rsid w:val="00EB1072"/>
    <w:rsid w:val="00EB1A14"/>
    <w:rsid w:val="00EB1ED2"/>
    <w:rsid w:val="00EB21F9"/>
    <w:rsid w:val="00EB2610"/>
    <w:rsid w:val="00EB2D92"/>
    <w:rsid w:val="00EB3229"/>
    <w:rsid w:val="00EB341F"/>
    <w:rsid w:val="00EB36B5"/>
    <w:rsid w:val="00EB43C4"/>
    <w:rsid w:val="00EB5C2A"/>
    <w:rsid w:val="00EB686E"/>
    <w:rsid w:val="00EB6974"/>
    <w:rsid w:val="00EB6D6E"/>
    <w:rsid w:val="00EB7570"/>
    <w:rsid w:val="00EB7649"/>
    <w:rsid w:val="00EB76BD"/>
    <w:rsid w:val="00EC05A9"/>
    <w:rsid w:val="00EC07C5"/>
    <w:rsid w:val="00EC12D9"/>
    <w:rsid w:val="00EC2103"/>
    <w:rsid w:val="00EC27C8"/>
    <w:rsid w:val="00EC284D"/>
    <w:rsid w:val="00EC2BE5"/>
    <w:rsid w:val="00EC2CCA"/>
    <w:rsid w:val="00EC2E57"/>
    <w:rsid w:val="00EC2E71"/>
    <w:rsid w:val="00EC3A46"/>
    <w:rsid w:val="00EC3AA0"/>
    <w:rsid w:val="00EC4158"/>
    <w:rsid w:val="00EC4D53"/>
    <w:rsid w:val="00EC5347"/>
    <w:rsid w:val="00EC54E1"/>
    <w:rsid w:val="00EC7215"/>
    <w:rsid w:val="00EC7371"/>
    <w:rsid w:val="00EC7652"/>
    <w:rsid w:val="00EC766D"/>
    <w:rsid w:val="00EC77DC"/>
    <w:rsid w:val="00EC7835"/>
    <w:rsid w:val="00ED05EB"/>
    <w:rsid w:val="00ED0D53"/>
    <w:rsid w:val="00ED0ED2"/>
    <w:rsid w:val="00ED1938"/>
    <w:rsid w:val="00ED25BD"/>
    <w:rsid w:val="00ED3133"/>
    <w:rsid w:val="00ED3605"/>
    <w:rsid w:val="00ED3C86"/>
    <w:rsid w:val="00ED3CE8"/>
    <w:rsid w:val="00ED47E4"/>
    <w:rsid w:val="00ED4B01"/>
    <w:rsid w:val="00ED5511"/>
    <w:rsid w:val="00ED58AD"/>
    <w:rsid w:val="00ED5E13"/>
    <w:rsid w:val="00ED5E22"/>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E7616"/>
    <w:rsid w:val="00EF00D3"/>
    <w:rsid w:val="00EF0280"/>
    <w:rsid w:val="00EF0F38"/>
    <w:rsid w:val="00EF0F88"/>
    <w:rsid w:val="00EF12CC"/>
    <w:rsid w:val="00EF1613"/>
    <w:rsid w:val="00EF21B8"/>
    <w:rsid w:val="00EF21F3"/>
    <w:rsid w:val="00EF2355"/>
    <w:rsid w:val="00EF3011"/>
    <w:rsid w:val="00EF3786"/>
    <w:rsid w:val="00EF3BE1"/>
    <w:rsid w:val="00EF4351"/>
    <w:rsid w:val="00EF4927"/>
    <w:rsid w:val="00EF4B23"/>
    <w:rsid w:val="00EF50AF"/>
    <w:rsid w:val="00EF5363"/>
    <w:rsid w:val="00EF59B1"/>
    <w:rsid w:val="00EF59F2"/>
    <w:rsid w:val="00EF6153"/>
    <w:rsid w:val="00EF6176"/>
    <w:rsid w:val="00EF6E4E"/>
    <w:rsid w:val="00EF713B"/>
    <w:rsid w:val="00EF71AB"/>
    <w:rsid w:val="00EF74E7"/>
    <w:rsid w:val="00EF780A"/>
    <w:rsid w:val="00EF7B3E"/>
    <w:rsid w:val="00F0069B"/>
    <w:rsid w:val="00F01C37"/>
    <w:rsid w:val="00F01D44"/>
    <w:rsid w:val="00F01F24"/>
    <w:rsid w:val="00F020FB"/>
    <w:rsid w:val="00F02BF0"/>
    <w:rsid w:val="00F03C49"/>
    <w:rsid w:val="00F03F33"/>
    <w:rsid w:val="00F0432C"/>
    <w:rsid w:val="00F04516"/>
    <w:rsid w:val="00F06034"/>
    <w:rsid w:val="00F0780D"/>
    <w:rsid w:val="00F07A6D"/>
    <w:rsid w:val="00F100D2"/>
    <w:rsid w:val="00F1097C"/>
    <w:rsid w:val="00F121F0"/>
    <w:rsid w:val="00F123F4"/>
    <w:rsid w:val="00F12DCF"/>
    <w:rsid w:val="00F12DE2"/>
    <w:rsid w:val="00F12F63"/>
    <w:rsid w:val="00F1310D"/>
    <w:rsid w:val="00F133D6"/>
    <w:rsid w:val="00F13971"/>
    <w:rsid w:val="00F13C27"/>
    <w:rsid w:val="00F14133"/>
    <w:rsid w:val="00F144D6"/>
    <w:rsid w:val="00F14C5F"/>
    <w:rsid w:val="00F14FC4"/>
    <w:rsid w:val="00F1511E"/>
    <w:rsid w:val="00F15860"/>
    <w:rsid w:val="00F15A42"/>
    <w:rsid w:val="00F15DA5"/>
    <w:rsid w:val="00F16108"/>
    <w:rsid w:val="00F16136"/>
    <w:rsid w:val="00F16526"/>
    <w:rsid w:val="00F16D91"/>
    <w:rsid w:val="00F1705F"/>
    <w:rsid w:val="00F1732C"/>
    <w:rsid w:val="00F1756F"/>
    <w:rsid w:val="00F201FD"/>
    <w:rsid w:val="00F204E4"/>
    <w:rsid w:val="00F2085A"/>
    <w:rsid w:val="00F214B1"/>
    <w:rsid w:val="00F21C7B"/>
    <w:rsid w:val="00F2227C"/>
    <w:rsid w:val="00F23548"/>
    <w:rsid w:val="00F2359A"/>
    <w:rsid w:val="00F2404C"/>
    <w:rsid w:val="00F2429E"/>
    <w:rsid w:val="00F24782"/>
    <w:rsid w:val="00F25371"/>
    <w:rsid w:val="00F25545"/>
    <w:rsid w:val="00F265B9"/>
    <w:rsid w:val="00F266AA"/>
    <w:rsid w:val="00F2685A"/>
    <w:rsid w:val="00F2701E"/>
    <w:rsid w:val="00F27661"/>
    <w:rsid w:val="00F2796B"/>
    <w:rsid w:val="00F279BD"/>
    <w:rsid w:val="00F27F89"/>
    <w:rsid w:val="00F27FFD"/>
    <w:rsid w:val="00F3079C"/>
    <w:rsid w:val="00F3223F"/>
    <w:rsid w:val="00F3267F"/>
    <w:rsid w:val="00F33779"/>
    <w:rsid w:val="00F33B9C"/>
    <w:rsid w:val="00F34050"/>
    <w:rsid w:val="00F340F6"/>
    <w:rsid w:val="00F34129"/>
    <w:rsid w:val="00F3424C"/>
    <w:rsid w:val="00F34397"/>
    <w:rsid w:val="00F354AA"/>
    <w:rsid w:val="00F35F09"/>
    <w:rsid w:val="00F363EA"/>
    <w:rsid w:val="00F37037"/>
    <w:rsid w:val="00F3771F"/>
    <w:rsid w:val="00F37869"/>
    <w:rsid w:val="00F37A08"/>
    <w:rsid w:val="00F37BB9"/>
    <w:rsid w:val="00F40B80"/>
    <w:rsid w:val="00F41721"/>
    <w:rsid w:val="00F41B49"/>
    <w:rsid w:val="00F423F0"/>
    <w:rsid w:val="00F42726"/>
    <w:rsid w:val="00F42C78"/>
    <w:rsid w:val="00F43C32"/>
    <w:rsid w:val="00F44601"/>
    <w:rsid w:val="00F453B6"/>
    <w:rsid w:val="00F45496"/>
    <w:rsid w:val="00F45854"/>
    <w:rsid w:val="00F45D0C"/>
    <w:rsid w:val="00F460F1"/>
    <w:rsid w:val="00F464B2"/>
    <w:rsid w:val="00F468F2"/>
    <w:rsid w:val="00F4697F"/>
    <w:rsid w:val="00F46B56"/>
    <w:rsid w:val="00F46C8A"/>
    <w:rsid w:val="00F46D54"/>
    <w:rsid w:val="00F46DBE"/>
    <w:rsid w:val="00F50DC4"/>
    <w:rsid w:val="00F524C0"/>
    <w:rsid w:val="00F52A72"/>
    <w:rsid w:val="00F53483"/>
    <w:rsid w:val="00F53548"/>
    <w:rsid w:val="00F540CB"/>
    <w:rsid w:val="00F5423E"/>
    <w:rsid w:val="00F548BE"/>
    <w:rsid w:val="00F5528F"/>
    <w:rsid w:val="00F568B3"/>
    <w:rsid w:val="00F568CD"/>
    <w:rsid w:val="00F569C2"/>
    <w:rsid w:val="00F56A10"/>
    <w:rsid w:val="00F56AE4"/>
    <w:rsid w:val="00F57C62"/>
    <w:rsid w:val="00F57FC5"/>
    <w:rsid w:val="00F6000C"/>
    <w:rsid w:val="00F61269"/>
    <w:rsid w:val="00F61976"/>
    <w:rsid w:val="00F626CD"/>
    <w:rsid w:val="00F62DFC"/>
    <w:rsid w:val="00F62F58"/>
    <w:rsid w:val="00F63029"/>
    <w:rsid w:val="00F6340C"/>
    <w:rsid w:val="00F6362F"/>
    <w:rsid w:val="00F6381A"/>
    <w:rsid w:val="00F64095"/>
    <w:rsid w:val="00F645A3"/>
    <w:rsid w:val="00F6497A"/>
    <w:rsid w:val="00F65403"/>
    <w:rsid w:val="00F658BB"/>
    <w:rsid w:val="00F6598F"/>
    <w:rsid w:val="00F65E41"/>
    <w:rsid w:val="00F65FF3"/>
    <w:rsid w:val="00F66292"/>
    <w:rsid w:val="00F6694F"/>
    <w:rsid w:val="00F67026"/>
    <w:rsid w:val="00F67D15"/>
    <w:rsid w:val="00F70012"/>
    <w:rsid w:val="00F702ED"/>
    <w:rsid w:val="00F7048F"/>
    <w:rsid w:val="00F70A5D"/>
    <w:rsid w:val="00F70D04"/>
    <w:rsid w:val="00F71756"/>
    <w:rsid w:val="00F717ED"/>
    <w:rsid w:val="00F71F64"/>
    <w:rsid w:val="00F722AD"/>
    <w:rsid w:val="00F72370"/>
    <w:rsid w:val="00F724A0"/>
    <w:rsid w:val="00F72ED6"/>
    <w:rsid w:val="00F72EDE"/>
    <w:rsid w:val="00F7426C"/>
    <w:rsid w:val="00F748DB"/>
    <w:rsid w:val="00F7494B"/>
    <w:rsid w:val="00F74B62"/>
    <w:rsid w:val="00F74E67"/>
    <w:rsid w:val="00F75BD6"/>
    <w:rsid w:val="00F75EED"/>
    <w:rsid w:val="00F76257"/>
    <w:rsid w:val="00F7685E"/>
    <w:rsid w:val="00F76B38"/>
    <w:rsid w:val="00F76DA5"/>
    <w:rsid w:val="00F76F1C"/>
    <w:rsid w:val="00F76FC2"/>
    <w:rsid w:val="00F770EF"/>
    <w:rsid w:val="00F775E1"/>
    <w:rsid w:val="00F7791F"/>
    <w:rsid w:val="00F77BDA"/>
    <w:rsid w:val="00F77EC2"/>
    <w:rsid w:val="00F808A8"/>
    <w:rsid w:val="00F80E09"/>
    <w:rsid w:val="00F8148A"/>
    <w:rsid w:val="00F81687"/>
    <w:rsid w:val="00F81CE3"/>
    <w:rsid w:val="00F81D23"/>
    <w:rsid w:val="00F82060"/>
    <w:rsid w:val="00F820BF"/>
    <w:rsid w:val="00F83B27"/>
    <w:rsid w:val="00F83E60"/>
    <w:rsid w:val="00F83FD9"/>
    <w:rsid w:val="00F84289"/>
    <w:rsid w:val="00F84293"/>
    <w:rsid w:val="00F857D6"/>
    <w:rsid w:val="00F87193"/>
    <w:rsid w:val="00F8722D"/>
    <w:rsid w:val="00F8785E"/>
    <w:rsid w:val="00F87F75"/>
    <w:rsid w:val="00F87F99"/>
    <w:rsid w:val="00F87FCA"/>
    <w:rsid w:val="00F902E6"/>
    <w:rsid w:val="00F9196A"/>
    <w:rsid w:val="00F920E2"/>
    <w:rsid w:val="00F921E9"/>
    <w:rsid w:val="00F92790"/>
    <w:rsid w:val="00F92920"/>
    <w:rsid w:val="00F92A63"/>
    <w:rsid w:val="00F92ACA"/>
    <w:rsid w:val="00F92C55"/>
    <w:rsid w:val="00F92E7C"/>
    <w:rsid w:val="00F92EAB"/>
    <w:rsid w:val="00F93083"/>
    <w:rsid w:val="00F930D9"/>
    <w:rsid w:val="00F9322C"/>
    <w:rsid w:val="00F93EEE"/>
    <w:rsid w:val="00F94A68"/>
    <w:rsid w:val="00F954CA"/>
    <w:rsid w:val="00F95676"/>
    <w:rsid w:val="00F96280"/>
    <w:rsid w:val="00F967BB"/>
    <w:rsid w:val="00F96E84"/>
    <w:rsid w:val="00F97914"/>
    <w:rsid w:val="00F97E2D"/>
    <w:rsid w:val="00FA01D4"/>
    <w:rsid w:val="00FA2A41"/>
    <w:rsid w:val="00FA2BD7"/>
    <w:rsid w:val="00FA3BAD"/>
    <w:rsid w:val="00FA3F06"/>
    <w:rsid w:val="00FA4744"/>
    <w:rsid w:val="00FA53DE"/>
    <w:rsid w:val="00FA6DE6"/>
    <w:rsid w:val="00FA6F37"/>
    <w:rsid w:val="00FA6FA7"/>
    <w:rsid w:val="00FA77CA"/>
    <w:rsid w:val="00FB0862"/>
    <w:rsid w:val="00FB0D8A"/>
    <w:rsid w:val="00FB119A"/>
    <w:rsid w:val="00FB141F"/>
    <w:rsid w:val="00FB1431"/>
    <w:rsid w:val="00FB162D"/>
    <w:rsid w:val="00FB181F"/>
    <w:rsid w:val="00FB1918"/>
    <w:rsid w:val="00FB1AE8"/>
    <w:rsid w:val="00FB1D7A"/>
    <w:rsid w:val="00FB24C0"/>
    <w:rsid w:val="00FB2671"/>
    <w:rsid w:val="00FB286E"/>
    <w:rsid w:val="00FB29B4"/>
    <w:rsid w:val="00FB2A18"/>
    <w:rsid w:val="00FB3D9E"/>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1F81"/>
    <w:rsid w:val="00FC201C"/>
    <w:rsid w:val="00FC2F98"/>
    <w:rsid w:val="00FC314B"/>
    <w:rsid w:val="00FC345D"/>
    <w:rsid w:val="00FC39CA"/>
    <w:rsid w:val="00FC3AE8"/>
    <w:rsid w:val="00FC4A41"/>
    <w:rsid w:val="00FC5608"/>
    <w:rsid w:val="00FC5E6F"/>
    <w:rsid w:val="00FC6408"/>
    <w:rsid w:val="00FC7615"/>
    <w:rsid w:val="00FC7F4D"/>
    <w:rsid w:val="00FD058E"/>
    <w:rsid w:val="00FD05BC"/>
    <w:rsid w:val="00FD0E60"/>
    <w:rsid w:val="00FD1D96"/>
    <w:rsid w:val="00FD2102"/>
    <w:rsid w:val="00FD2718"/>
    <w:rsid w:val="00FD3889"/>
    <w:rsid w:val="00FD45D6"/>
    <w:rsid w:val="00FD465C"/>
    <w:rsid w:val="00FD562A"/>
    <w:rsid w:val="00FD64EF"/>
    <w:rsid w:val="00FD7771"/>
    <w:rsid w:val="00FE0294"/>
    <w:rsid w:val="00FE18B4"/>
    <w:rsid w:val="00FE1CEF"/>
    <w:rsid w:val="00FE2168"/>
    <w:rsid w:val="00FE21BF"/>
    <w:rsid w:val="00FE2C5C"/>
    <w:rsid w:val="00FE2F0E"/>
    <w:rsid w:val="00FE2F48"/>
    <w:rsid w:val="00FE37C2"/>
    <w:rsid w:val="00FE4F46"/>
    <w:rsid w:val="00FE5276"/>
    <w:rsid w:val="00FE606C"/>
    <w:rsid w:val="00FE66FB"/>
    <w:rsid w:val="00FE6FAA"/>
    <w:rsid w:val="00FE7053"/>
    <w:rsid w:val="00FE72F9"/>
    <w:rsid w:val="00FE7495"/>
    <w:rsid w:val="00FE76F5"/>
    <w:rsid w:val="00FE7884"/>
    <w:rsid w:val="00FE7D12"/>
    <w:rsid w:val="00FE7EA0"/>
    <w:rsid w:val="00FF07DB"/>
    <w:rsid w:val="00FF39B5"/>
    <w:rsid w:val="00FF3DBD"/>
    <w:rsid w:val="00FF4204"/>
    <w:rsid w:val="00FF4314"/>
    <w:rsid w:val="00FF456E"/>
    <w:rsid w:val="00FF4A19"/>
    <w:rsid w:val="00FF4CE2"/>
    <w:rsid w:val="00FF5D14"/>
    <w:rsid w:val="00FF7533"/>
    <w:rsid w:val="01F0299B"/>
    <w:rsid w:val="026E4F91"/>
    <w:rsid w:val="041D095D"/>
    <w:rsid w:val="05C87DB9"/>
    <w:rsid w:val="069A035E"/>
    <w:rsid w:val="0961739E"/>
    <w:rsid w:val="098E6083"/>
    <w:rsid w:val="0B205B2B"/>
    <w:rsid w:val="0B782559"/>
    <w:rsid w:val="0C7476C0"/>
    <w:rsid w:val="0D566BC9"/>
    <w:rsid w:val="0E180322"/>
    <w:rsid w:val="0E8C4995"/>
    <w:rsid w:val="0EF27BFB"/>
    <w:rsid w:val="0FBC50EF"/>
    <w:rsid w:val="1122095D"/>
    <w:rsid w:val="115F3FD7"/>
    <w:rsid w:val="11A259DD"/>
    <w:rsid w:val="11F9269A"/>
    <w:rsid w:val="120474A0"/>
    <w:rsid w:val="13102ABE"/>
    <w:rsid w:val="167D280D"/>
    <w:rsid w:val="17047766"/>
    <w:rsid w:val="175C43E7"/>
    <w:rsid w:val="17935895"/>
    <w:rsid w:val="17F52C18"/>
    <w:rsid w:val="184530EF"/>
    <w:rsid w:val="19227A4B"/>
    <w:rsid w:val="1A4E7B88"/>
    <w:rsid w:val="1B3E182A"/>
    <w:rsid w:val="1B4B5195"/>
    <w:rsid w:val="1C174C6F"/>
    <w:rsid w:val="1C7C020D"/>
    <w:rsid w:val="1C8F78BA"/>
    <w:rsid w:val="1C9B0D84"/>
    <w:rsid w:val="1CDD3F3B"/>
    <w:rsid w:val="1D4D6869"/>
    <w:rsid w:val="20707345"/>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D6C141D"/>
    <w:rsid w:val="2E980D64"/>
    <w:rsid w:val="2EB64B4B"/>
    <w:rsid w:val="2EDB590A"/>
    <w:rsid w:val="2F0A29E3"/>
    <w:rsid w:val="30817D6A"/>
    <w:rsid w:val="3157114E"/>
    <w:rsid w:val="31F2037F"/>
    <w:rsid w:val="329B11F6"/>
    <w:rsid w:val="336E087E"/>
    <w:rsid w:val="33A85DA6"/>
    <w:rsid w:val="33C3087D"/>
    <w:rsid w:val="35961B12"/>
    <w:rsid w:val="364523AD"/>
    <w:rsid w:val="36700D38"/>
    <w:rsid w:val="36AA789A"/>
    <w:rsid w:val="36B63961"/>
    <w:rsid w:val="36C4673D"/>
    <w:rsid w:val="37B10B63"/>
    <w:rsid w:val="37D17C49"/>
    <w:rsid w:val="38950836"/>
    <w:rsid w:val="390721D7"/>
    <w:rsid w:val="393B510C"/>
    <w:rsid w:val="393F4767"/>
    <w:rsid w:val="39A97E97"/>
    <w:rsid w:val="3A260C29"/>
    <w:rsid w:val="3B57268D"/>
    <w:rsid w:val="3B6176CE"/>
    <w:rsid w:val="3BF9504C"/>
    <w:rsid w:val="3CF11603"/>
    <w:rsid w:val="3D7507FB"/>
    <w:rsid w:val="3EB5127A"/>
    <w:rsid w:val="3F503E5E"/>
    <w:rsid w:val="3FC16214"/>
    <w:rsid w:val="41576FF8"/>
    <w:rsid w:val="41D9164E"/>
    <w:rsid w:val="41DD521D"/>
    <w:rsid w:val="423B7022"/>
    <w:rsid w:val="42A87124"/>
    <w:rsid w:val="42E14644"/>
    <w:rsid w:val="4389060E"/>
    <w:rsid w:val="43C8028A"/>
    <w:rsid w:val="43D51667"/>
    <w:rsid w:val="443B2C25"/>
    <w:rsid w:val="448421F1"/>
    <w:rsid w:val="45D37D9B"/>
    <w:rsid w:val="48194FD5"/>
    <w:rsid w:val="484514CB"/>
    <w:rsid w:val="48560DF2"/>
    <w:rsid w:val="48C86EE1"/>
    <w:rsid w:val="49FA6EF8"/>
    <w:rsid w:val="4A784961"/>
    <w:rsid w:val="4ACF3A3C"/>
    <w:rsid w:val="4B1700DF"/>
    <w:rsid w:val="4CD64E73"/>
    <w:rsid w:val="4D1C537B"/>
    <w:rsid w:val="4F0F6A19"/>
    <w:rsid w:val="4FD06EE0"/>
    <w:rsid w:val="51D10A66"/>
    <w:rsid w:val="528A390F"/>
    <w:rsid w:val="528C6991"/>
    <w:rsid w:val="52C3297B"/>
    <w:rsid w:val="54054633"/>
    <w:rsid w:val="540605E4"/>
    <w:rsid w:val="547F0032"/>
    <w:rsid w:val="54A02A20"/>
    <w:rsid w:val="55C87B3E"/>
    <w:rsid w:val="58D67D8C"/>
    <w:rsid w:val="58E10577"/>
    <w:rsid w:val="58EB4BA9"/>
    <w:rsid w:val="59165EF7"/>
    <w:rsid w:val="59702A12"/>
    <w:rsid w:val="5A221BA5"/>
    <w:rsid w:val="5AED2A9C"/>
    <w:rsid w:val="5BC746C9"/>
    <w:rsid w:val="5CC61F72"/>
    <w:rsid w:val="5CF206F7"/>
    <w:rsid w:val="5EA0340D"/>
    <w:rsid w:val="5ED66C3C"/>
    <w:rsid w:val="5EFF038D"/>
    <w:rsid w:val="5FDD643B"/>
    <w:rsid w:val="60B53166"/>
    <w:rsid w:val="60BA3E42"/>
    <w:rsid w:val="6194383B"/>
    <w:rsid w:val="61CB5375"/>
    <w:rsid w:val="623348CA"/>
    <w:rsid w:val="65CA685B"/>
    <w:rsid w:val="65CF34A7"/>
    <w:rsid w:val="65F660EF"/>
    <w:rsid w:val="6673798C"/>
    <w:rsid w:val="673905B6"/>
    <w:rsid w:val="681C3942"/>
    <w:rsid w:val="68460AAC"/>
    <w:rsid w:val="68AC1CFE"/>
    <w:rsid w:val="68EC626C"/>
    <w:rsid w:val="6BCD1DE6"/>
    <w:rsid w:val="6C505023"/>
    <w:rsid w:val="6D14299F"/>
    <w:rsid w:val="6D672A1E"/>
    <w:rsid w:val="6DC237D1"/>
    <w:rsid w:val="6F40725E"/>
    <w:rsid w:val="6F4C2770"/>
    <w:rsid w:val="6F745D74"/>
    <w:rsid w:val="711172CF"/>
    <w:rsid w:val="71FD54DD"/>
    <w:rsid w:val="739A7F5B"/>
    <w:rsid w:val="7410294D"/>
    <w:rsid w:val="74F01508"/>
    <w:rsid w:val="76D71644"/>
    <w:rsid w:val="776C2FB6"/>
    <w:rsid w:val="79982284"/>
    <w:rsid w:val="7998662D"/>
    <w:rsid w:val="7A8C5878"/>
    <w:rsid w:val="7B471854"/>
    <w:rsid w:val="7C552333"/>
    <w:rsid w:val="7CA86C55"/>
    <w:rsid w:val="7CF019C1"/>
    <w:rsid w:val="7D461CAD"/>
    <w:rsid w:val="7E28286A"/>
    <w:rsid w:val="7E4515FE"/>
    <w:rsid w:val="7EAD59B2"/>
    <w:rsid w:val="7F802513"/>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60"/>
    <w:autoRedefine/>
    <w:qFormat/>
    <w:uiPriority w:val="0"/>
    <w:pPr>
      <w:spacing w:before="340" w:after="330" w:line="360" w:lineRule="auto"/>
      <w:jc w:val="center"/>
      <w:outlineLvl w:val="0"/>
    </w:pPr>
    <w:rPr>
      <w:rFonts w:eastAsiaTheme="minorEastAsia"/>
      <w:bCs w:val="0"/>
      <w:kern w:val="44"/>
      <w:sz w:val="44"/>
      <w:szCs w:val="28"/>
    </w:rPr>
  </w:style>
  <w:style w:type="paragraph" w:styleId="4">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3">
    <w:name w:val="heading 3"/>
    <w:basedOn w:val="1"/>
    <w:next w:val="1"/>
    <w:link w:val="59"/>
    <w:autoRedefine/>
    <w:qFormat/>
    <w:uiPriority w:val="0"/>
    <w:pPr>
      <w:keepNext/>
      <w:keepLines/>
      <w:spacing w:before="260" w:after="260" w:line="416" w:lineRule="auto"/>
      <w:jc w:val="left"/>
      <w:outlineLvl w:val="2"/>
    </w:pPr>
    <w:rPr>
      <w:b/>
      <w:bCs/>
      <w:sz w:val="24"/>
      <w:szCs w:val="32"/>
    </w:rPr>
  </w:style>
  <w:style w:type="paragraph" w:styleId="5">
    <w:name w:val="heading 4"/>
    <w:basedOn w:val="1"/>
    <w:next w:val="1"/>
    <w:link w:val="62"/>
    <w:autoRedefine/>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4"/>
    <w:autoRedefine/>
    <w:qFormat/>
    <w:uiPriority w:val="0"/>
    <w:pPr>
      <w:keepNext/>
      <w:keepLines/>
      <w:numPr>
        <w:ilvl w:val="4"/>
        <w:numId w:val="1"/>
      </w:numPr>
      <w:tabs>
        <w:tab w:val="left" w:pos="371"/>
      </w:tabs>
      <w:spacing w:before="280" w:after="290" w:line="374" w:lineRule="auto"/>
      <w:outlineLvl w:val="4"/>
    </w:pPr>
    <w:rPr>
      <w:b/>
      <w:sz w:val="28"/>
    </w:rPr>
  </w:style>
  <w:style w:type="paragraph" w:styleId="8">
    <w:name w:val="heading 6"/>
    <w:basedOn w:val="1"/>
    <w:next w:val="7"/>
    <w:link w:val="65"/>
    <w:autoRedefine/>
    <w:qFormat/>
    <w:uiPriority w:val="9"/>
    <w:pPr>
      <w:keepNext/>
      <w:keepLines/>
      <w:numPr>
        <w:ilvl w:val="5"/>
        <w:numId w:val="1"/>
      </w:numPr>
      <w:spacing w:before="240" w:after="64" w:line="319" w:lineRule="auto"/>
      <w:outlineLvl w:val="5"/>
    </w:pPr>
    <w:rPr>
      <w:rFonts w:ascii="Arial" w:hAnsi="Arial" w:eastAsia="黑体"/>
      <w:b/>
      <w:sz w:val="24"/>
    </w:rPr>
  </w:style>
  <w:style w:type="paragraph" w:styleId="9">
    <w:name w:val="heading 7"/>
    <w:basedOn w:val="1"/>
    <w:next w:val="7"/>
    <w:link w:val="66"/>
    <w:autoRedefine/>
    <w:qFormat/>
    <w:uiPriority w:val="9"/>
    <w:pPr>
      <w:keepNext/>
      <w:keepLines/>
      <w:numPr>
        <w:ilvl w:val="6"/>
        <w:numId w:val="1"/>
      </w:numPr>
      <w:spacing w:before="240" w:after="64" w:line="319" w:lineRule="auto"/>
      <w:outlineLvl w:val="6"/>
    </w:pPr>
    <w:rPr>
      <w:b/>
      <w:sz w:val="24"/>
    </w:rPr>
  </w:style>
  <w:style w:type="paragraph" w:styleId="10">
    <w:name w:val="heading 8"/>
    <w:basedOn w:val="1"/>
    <w:next w:val="7"/>
    <w:link w:val="67"/>
    <w:autoRedefine/>
    <w:qFormat/>
    <w:uiPriority w:val="9"/>
    <w:pPr>
      <w:keepNext/>
      <w:keepLines/>
      <w:numPr>
        <w:ilvl w:val="7"/>
        <w:numId w:val="1"/>
      </w:numPr>
      <w:spacing w:before="240" w:after="64" w:line="319" w:lineRule="auto"/>
      <w:outlineLvl w:val="7"/>
    </w:pPr>
    <w:rPr>
      <w:rFonts w:ascii="Arial" w:hAnsi="Arial" w:eastAsia="黑体"/>
      <w:sz w:val="24"/>
    </w:rPr>
  </w:style>
  <w:style w:type="paragraph" w:styleId="11">
    <w:name w:val="heading 9"/>
    <w:basedOn w:val="1"/>
    <w:next w:val="7"/>
    <w:link w:val="68"/>
    <w:autoRedefine/>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uiPriority w:val="1"/>
  </w:style>
  <w:style w:type="table" w:default="1" w:styleId="50">
    <w:name w:val="Normal Table"/>
    <w:autoRedefine/>
    <w:semiHidden/>
    <w:unhideWhenUsed/>
    <w:qFormat/>
    <w:uiPriority w:val="99"/>
    <w:tblPr>
      <w:tblCellMar>
        <w:top w:w="0" w:type="dxa"/>
        <w:left w:w="108" w:type="dxa"/>
        <w:bottom w:w="0" w:type="dxa"/>
        <w:right w:w="108" w:type="dxa"/>
      </w:tblCellMar>
    </w:tblPr>
  </w:style>
  <w:style w:type="paragraph" w:styleId="7">
    <w:name w:val="Normal Indent"/>
    <w:basedOn w:val="1"/>
    <w:link w:val="63"/>
    <w:autoRedefine/>
    <w:qFormat/>
    <w:uiPriority w:val="0"/>
    <w:pPr>
      <w:ind w:firstLine="420" w:firstLineChars="200"/>
    </w:pPr>
  </w:style>
  <w:style w:type="paragraph" w:styleId="12">
    <w:name w:val="toc 7"/>
    <w:basedOn w:val="1"/>
    <w:next w:val="1"/>
    <w:autoRedefine/>
    <w:qFormat/>
    <w:uiPriority w:val="0"/>
    <w:pPr>
      <w:ind w:left="1260"/>
      <w:jc w:val="left"/>
    </w:pPr>
    <w:rPr>
      <w:szCs w:val="21"/>
    </w:rPr>
  </w:style>
  <w:style w:type="paragraph" w:styleId="13">
    <w:name w:val="List Number 2"/>
    <w:basedOn w:val="1"/>
    <w:autoRedefine/>
    <w:qFormat/>
    <w:uiPriority w:val="0"/>
    <w:pPr>
      <w:tabs>
        <w:tab w:val="left" w:pos="780"/>
      </w:tabs>
      <w:ind w:left="780" w:hanging="360"/>
    </w:pPr>
    <w:rPr>
      <w:szCs w:val="20"/>
    </w:rPr>
  </w:style>
  <w:style w:type="paragraph" w:styleId="14">
    <w:name w:val="List Bullet 4"/>
    <w:basedOn w:val="1"/>
    <w:autoRedefine/>
    <w:qFormat/>
    <w:uiPriority w:val="0"/>
    <w:pPr>
      <w:tabs>
        <w:tab w:val="left" w:pos="425"/>
        <w:tab w:val="left" w:pos="1620"/>
      </w:tabs>
      <w:ind w:left="425" w:hanging="425"/>
    </w:pPr>
    <w:rPr>
      <w:szCs w:val="20"/>
    </w:rPr>
  </w:style>
  <w:style w:type="paragraph" w:styleId="15">
    <w:name w:val="caption"/>
    <w:basedOn w:val="1"/>
    <w:next w:val="1"/>
    <w:link w:val="297"/>
    <w:autoRedefine/>
    <w:qFormat/>
    <w:uiPriority w:val="0"/>
    <w:rPr>
      <w:rFonts w:ascii="Cambria" w:hAnsi="Cambria" w:eastAsia="黑体"/>
    </w:rPr>
  </w:style>
  <w:style w:type="paragraph" w:styleId="16">
    <w:name w:val="List Bullet"/>
    <w:basedOn w:val="1"/>
    <w:autoRedefine/>
    <w:qFormat/>
    <w:uiPriority w:val="0"/>
    <w:pPr>
      <w:numPr>
        <w:ilvl w:val="0"/>
        <w:numId w:val="1"/>
      </w:numPr>
      <w:tabs>
        <w:tab w:val="left" w:pos="360"/>
        <w:tab w:val="clear" w:pos="371"/>
      </w:tabs>
    </w:pPr>
    <w:rPr>
      <w:szCs w:val="20"/>
    </w:rPr>
  </w:style>
  <w:style w:type="paragraph" w:styleId="17">
    <w:name w:val="Document Map"/>
    <w:basedOn w:val="1"/>
    <w:link w:val="73"/>
    <w:autoRedefine/>
    <w:qFormat/>
    <w:uiPriority w:val="0"/>
    <w:pPr>
      <w:shd w:val="clear" w:color="auto" w:fill="000080"/>
    </w:pPr>
  </w:style>
  <w:style w:type="paragraph" w:styleId="18">
    <w:name w:val="annotation text"/>
    <w:basedOn w:val="1"/>
    <w:link w:val="69"/>
    <w:autoRedefine/>
    <w:qFormat/>
    <w:uiPriority w:val="99"/>
    <w:pPr>
      <w:jc w:val="left"/>
    </w:pPr>
  </w:style>
  <w:style w:type="paragraph" w:styleId="19">
    <w:name w:val="Body Text 3"/>
    <w:basedOn w:val="1"/>
    <w:link w:val="458"/>
    <w:autoRedefine/>
    <w:unhideWhenUsed/>
    <w:qFormat/>
    <w:uiPriority w:val="0"/>
    <w:pPr>
      <w:spacing w:after="120"/>
    </w:pPr>
    <w:rPr>
      <w:sz w:val="16"/>
      <w:szCs w:val="16"/>
    </w:rPr>
  </w:style>
  <w:style w:type="paragraph" w:styleId="20">
    <w:name w:val="Body Text"/>
    <w:basedOn w:val="1"/>
    <w:link w:val="71"/>
    <w:autoRedefine/>
    <w:qFormat/>
    <w:uiPriority w:val="0"/>
    <w:pPr>
      <w:spacing w:after="120"/>
    </w:pPr>
  </w:style>
  <w:style w:type="paragraph" w:styleId="21">
    <w:name w:val="Body Text Indent"/>
    <w:basedOn w:val="1"/>
    <w:link w:val="74"/>
    <w:autoRedefine/>
    <w:qFormat/>
    <w:uiPriority w:val="0"/>
    <w:pPr>
      <w:spacing w:after="120"/>
      <w:ind w:left="420" w:leftChars="200"/>
    </w:pPr>
  </w:style>
  <w:style w:type="paragraph" w:styleId="22">
    <w:name w:val="Block Text"/>
    <w:basedOn w:val="1"/>
    <w:autoRedefine/>
    <w:qFormat/>
    <w:uiPriority w:val="0"/>
    <w:pPr>
      <w:spacing w:after="120"/>
      <w:ind w:left="1440" w:leftChars="700" w:right="1440" w:rightChars="700"/>
    </w:pPr>
  </w:style>
  <w:style w:type="paragraph" w:styleId="23">
    <w:name w:val="List Bullet 2"/>
    <w:basedOn w:val="1"/>
    <w:autoRedefine/>
    <w:qFormat/>
    <w:uiPriority w:val="0"/>
    <w:pPr>
      <w:numPr>
        <w:ilvl w:val="0"/>
        <w:numId w:val="2"/>
      </w:numPr>
      <w:tabs>
        <w:tab w:val="left" w:pos="780"/>
      </w:tabs>
    </w:pPr>
    <w:rPr>
      <w:szCs w:val="20"/>
    </w:rPr>
  </w:style>
  <w:style w:type="paragraph" w:styleId="24">
    <w:name w:val="toc 5"/>
    <w:basedOn w:val="1"/>
    <w:next w:val="1"/>
    <w:autoRedefine/>
    <w:qFormat/>
    <w:uiPriority w:val="0"/>
    <w:pPr>
      <w:ind w:left="840"/>
      <w:jc w:val="left"/>
    </w:pPr>
    <w:rPr>
      <w:szCs w:val="21"/>
    </w:rPr>
  </w:style>
  <w:style w:type="paragraph" w:styleId="25">
    <w:name w:val="toc 3"/>
    <w:basedOn w:val="1"/>
    <w:next w:val="1"/>
    <w:autoRedefine/>
    <w:qFormat/>
    <w:uiPriority w:val="39"/>
    <w:pPr>
      <w:ind w:left="420"/>
      <w:jc w:val="left"/>
    </w:pPr>
    <w:rPr>
      <w:iCs/>
    </w:rPr>
  </w:style>
  <w:style w:type="paragraph" w:styleId="26">
    <w:name w:val="Plain Text"/>
    <w:basedOn w:val="1"/>
    <w:link w:val="75"/>
    <w:autoRedefine/>
    <w:qFormat/>
    <w:uiPriority w:val="0"/>
    <w:rPr>
      <w:rFonts w:ascii="宋体" w:hAnsi="Courier New"/>
      <w:szCs w:val="20"/>
    </w:rPr>
  </w:style>
  <w:style w:type="paragraph" w:styleId="27">
    <w:name w:val="toc 8"/>
    <w:basedOn w:val="1"/>
    <w:next w:val="1"/>
    <w:autoRedefine/>
    <w:qFormat/>
    <w:uiPriority w:val="0"/>
    <w:pPr>
      <w:ind w:left="1470"/>
      <w:jc w:val="left"/>
    </w:pPr>
    <w:rPr>
      <w:szCs w:val="21"/>
    </w:rPr>
  </w:style>
  <w:style w:type="paragraph" w:styleId="28">
    <w:name w:val="Date"/>
    <w:basedOn w:val="1"/>
    <w:next w:val="1"/>
    <w:link w:val="316"/>
    <w:autoRedefine/>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autoRedefine/>
    <w:qFormat/>
    <w:uiPriority w:val="0"/>
    <w:pPr>
      <w:spacing w:after="120" w:line="480" w:lineRule="auto"/>
      <w:ind w:left="420" w:leftChars="200"/>
    </w:pPr>
  </w:style>
  <w:style w:type="paragraph" w:styleId="30">
    <w:name w:val="Balloon Text"/>
    <w:basedOn w:val="1"/>
    <w:link w:val="77"/>
    <w:autoRedefine/>
    <w:qFormat/>
    <w:uiPriority w:val="0"/>
    <w:rPr>
      <w:sz w:val="18"/>
      <w:szCs w:val="18"/>
    </w:rPr>
  </w:style>
  <w:style w:type="paragraph" w:styleId="31">
    <w:name w:val="footer"/>
    <w:basedOn w:val="1"/>
    <w:link w:val="78"/>
    <w:autoRedefine/>
    <w:qFormat/>
    <w:uiPriority w:val="99"/>
    <w:pPr>
      <w:tabs>
        <w:tab w:val="center" w:pos="4153"/>
        <w:tab w:val="right" w:pos="8306"/>
      </w:tabs>
      <w:snapToGrid w:val="0"/>
      <w:jc w:val="left"/>
    </w:pPr>
    <w:rPr>
      <w:sz w:val="18"/>
      <w:szCs w:val="18"/>
    </w:rPr>
  </w:style>
  <w:style w:type="paragraph" w:styleId="32">
    <w:name w:val="header"/>
    <w:basedOn w:val="1"/>
    <w:link w:val="79"/>
    <w:autoRedefine/>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autoRedefine/>
    <w:qFormat/>
    <w:uiPriority w:val="0"/>
    <w:pPr>
      <w:ind w:left="4320"/>
    </w:pPr>
    <w:rPr>
      <w:rFonts w:eastAsia="楷体_GB2312"/>
      <w:szCs w:val="20"/>
    </w:rPr>
  </w:style>
  <w:style w:type="paragraph" w:styleId="34">
    <w:name w:val="toc 1"/>
    <w:basedOn w:val="1"/>
    <w:next w:val="1"/>
    <w:autoRedefine/>
    <w:qFormat/>
    <w:uiPriority w:val="39"/>
    <w:pPr>
      <w:spacing w:before="120" w:after="120"/>
      <w:jc w:val="left"/>
    </w:pPr>
    <w:rPr>
      <w:b/>
      <w:bCs/>
      <w:caps/>
    </w:rPr>
  </w:style>
  <w:style w:type="paragraph" w:styleId="35">
    <w:name w:val="toc 4"/>
    <w:basedOn w:val="1"/>
    <w:next w:val="1"/>
    <w:autoRedefine/>
    <w:qFormat/>
    <w:uiPriority w:val="0"/>
    <w:pPr>
      <w:ind w:left="630"/>
      <w:jc w:val="left"/>
    </w:pPr>
    <w:rPr>
      <w:szCs w:val="21"/>
    </w:rPr>
  </w:style>
  <w:style w:type="paragraph" w:styleId="36">
    <w:name w:val="index heading"/>
    <w:basedOn w:val="1"/>
    <w:next w:val="37"/>
    <w:autoRedefine/>
    <w:qFormat/>
    <w:uiPriority w:val="0"/>
    <w:rPr>
      <w:szCs w:val="20"/>
    </w:rPr>
  </w:style>
  <w:style w:type="paragraph" w:styleId="37">
    <w:name w:val="index 1"/>
    <w:basedOn w:val="1"/>
    <w:next w:val="1"/>
    <w:autoRedefine/>
    <w:qFormat/>
    <w:uiPriority w:val="0"/>
  </w:style>
  <w:style w:type="paragraph" w:styleId="38">
    <w:name w:val="footnote text"/>
    <w:basedOn w:val="1"/>
    <w:link w:val="481"/>
    <w:autoRedefine/>
    <w:qFormat/>
    <w:uiPriority w:val="0"/>
    <w:pPr>
      <w:snapToGrid w:val="0"/>
      <w:jc w:val="left"/>
    </w:pPr>
    <w:rPr>
      <w:sz w:val="18"/>
      <w:szCs w:val="18"/>
    </w:rPr>
  </w:style>
  <w:style w:type="paragraph" w:styleId="39">
    <w:name w:val="toc 6"/>
    <w:basedOn w:val="1"/>
    <w:next w:val="1"/>
    <w:autoRedefine/>
    <w:qFormat/>
    <w:uiPriority w:val="0"/>
    <w:pPr>
      <w:ind w:left="1050"/>
      <w:jc w:val="left"/>
    </w:pPr>
    <w:rPr>
      <w:szCs w:val="21"/>
    </w:rPr>
  </w:style>
  <w:style w:type="paragraph" w:styleId="40">
    <w:name w:val="Body Text Indent 3"/>
    <w:basedOn w:val="1"/>
    <w:link w:val="313"/>
    <w:autoRedefine/>
    <w:qFormat/>
    <w:uiPriority w:val="0"/>
    <w:pPr>
      <w:ind w:firstLine="426"/>
    </w:pPr>
    <w:rPr>
      <w:szCs w:val="20"/>
    </w:rPr>
  </w:style>
  <w:style w:type="paragraph" w:styleId="41">
    <w:name w:val="toc 2"/>
    <w:basedOn w:val="1"/>
    <w:next w:val="1"/>
    <w:autoRedefine/>
    <w:qFormat/>
    <w:uiPriority w:val="39"/>
    <w:pPr>
      <w:ind w:left="210"/>
      <w:jc w:val="left"/>
    </w:pPr>
    <w:rPr>
      <w:smallCaps/>
    </w:rPr>
  </w:style>
  <w:style w:type="paragraph" w:styleId="42">
    <w:name w:val="toc 9"/>
    <w:basedOn w:val="1"/>
    <w:next w:val="1"/>
    <w:autoRedefine/>
    <w:qFormat/>
    <w:uiPriority w:val="0"/>
    <w:pPr>
      <w:ind w:left="1680"/>
      <w:jc w:val="left"/>
    </w:pPr>
    <w:rPr>
      <w:szCs w:val="21"/>
    </w:rPr>
  </w:style>
  <w:style w:type="paragraph" w:styleId="43">
    <w:name w:val="Body Text 2"/>
    <w:basedOn w:val="1"/>
    <w:link w:val="306"/>
    <w:autoRedefine/>
    <w:qFormat/>
    <w:uiPriority w:val="0"/>
    <w:rPr>
      <w:sz w:val="28"/>
      <w:szCs w:val="20"/>
    </w:rPr>
  </w:style>
  <w:style w:type="paragraph" w:styleId="44">
    <w:name w:val="HTML Preformatted"/>
    <w:basedOn w:val="1"/>
    <w:link w:val="8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autoRedefine/>
    <w:qFormat/>
    <w:uiPriority w:val="99"/>
    <w:pPr>
      <w:widowControl/>
      <w:spacing w:before="100" w:beforeAutospacing="1" w:after="100" w:afterAutospacing="1"/>
      <w:jc w:val="left"/>
    </w:pPr>
    <w:rPr>
      <w:kern w:val="0"/>
      <w:sz w:val="24"/>
    </w:rPr>
  </w:style>
  <w:style w:type="paragraph" w:styleId="46">
    <w:name w:val="Title"/>
    <w:basedOn w:val="1"/>
    <w:link w:val="81"/>
    <w:autoRedefine/>
    <w:qFormat/>
    <w:uiPriority w:val="0"/>
    <w:pPr>
      <w:spacing w:before="240" w:after="60"/>
      <w:jc w:val="center"/>
      <w:outlineLvl w:val="0"/>
    </w:pPr>
    <w:rPr>
      <w:rFonts w:ascii="Arial" w:hAnsi="Arial" w:eastAsia="隶书"/>
      <w:b/>
      <w:bCs/>
      <w:sz w:val="32"/>
      <w:szCs w:val="32"/>
    </w:rPr>
  </w:style>
  <w:style w:type="paragraph" w:styleId="47">
    <w:name w:val="annotation subject"/>
    <w:basedOn w:val="18"/>
    <w:next w:val="18"/>
    <w:link w:val="70"/>
    <w:autoRedefine/>
    <w:qFormat/>
    <w:uiPriority w:val="0"/>
    <w:rPr>
      <w:b/>
      <w:bCs/>
    </w:rPr>
  </w:style>
  <w:style w:type="paragraph" w:styleId="48">
    <w:name w:val="Body Text First Indent"/>
    <w:basedOn w:val="20"/>
    <w:link w:val="72"/>
    <w:autoRedefine/>
    <w:qFormat/>
    <w:uiPriority w:val="0"/>
    <w:pPr>
      <w:ind w:firstLine="420" w:firstLineChars="100"/>
    </w:pPr>
  </w:style>
  <w:style w:type="paragraph" w:styleId="49">
    <w:name w:val="Body Text First Indent 2"/>
    <w:basedOn w:val="21"/>
    <w:link w:val="292"/>
    <w:autoRedefine/>
    <w:qFormat/>
    <w:uiPriority w:val="0"/>
    <w:pPr>
      <w:spacing w:after="160" w:line="360" w:lineRule="auto"/>
      <w:ind w:firstLine="480" w:firstLineChars="200"/>
    </w:pPr>
    <w:rPr>
      <w:kern w:val="0"/>
      <w:sz w:val="24"/>
    </w:rPr>
  </w:style>
  <w:style w:type="table" w:styleId="51">
    <w:name w:val="Table Grid"/>
    <w:basedOn w:val="50"/>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autoRedefine/>
    <w:qFormat/>
    <w:uiPriority w:val="22"/>
    <w:rPr>
      <w:b/>
      <w:bCs/>
    </w:rPr>
  </w:style>
  <w:style w:type="character" w:styleId="54">
    <w:name w:val="page number"/>
    <w:basedOn w:val="52"/>
    <w:autoRedefine/>
    <w:qFormat/>
    <w:uiPriority w:val="0"/>
  </w:style>
  <w:style w:type="character" w:styleId="55">
    <w:name w:val="FollowedHyperlink"/>
    <w:basedOn w:val="52"/>
    <w:autoRedefine/>
    <w:unhideWhenUsed/>
    <w:qFormat/>
    <w:uiPriority w:val="0"/>
    <w:rPr>
      <w:color w:val="800080"/>
      <w:u w:val="single"/>
    </w:rPr>
  </w:style>
  <w:style w:type="character" w:styleId="56">
    <w:name w:val="Emphasis"/>
    <w:autoRedefine/>
    <w:qFormat/>
    <w:uiPriority w:val="20"/>
    <w:rPr>
      <w:i/>
      <w:iCs/>
    </w:rPr>
  </w:style>
  <w:style w:type="character" w:styleId="57">
    <w:name w:val="Hyperlink"/>
    <w:autoRedefine/>
    <w:qFormat/>
    <w:uiPriority w:val="99"/>
    <w:rPr>
      <w:color w:val="0000FF"/>
      <w:u w:val="single"/>
    </w:rPr>
  </w:style>
  <w:style w:type="character" w:styleId="58">
    <w:name w:val="annotation reference"/>
    <w:autoRedefine/>
    <w:qFormat/>
    <w:uiPriority w:val="99"/>
    <w:rPr>
      <w:sz w:val="21"/>
      <w:szCs w:val="21"/>
    </w:rPr>
  </w:style>
  <w:style w:type="character" w:customStyle="1" w:styleId="59">
    <w:name w:val="标题 3 字符"/>
    <w:basedOn w:val="52"/>
    <w:link w:val="3"/>
    <w:autoRedefine/>
    <w:qFormat/>
    <w:uiPriority w:val="0"/>
    <w:rPr>
      <w:b/>
      <w:bCs/>
      <w:kern w:val="2"/>
      <w:sz w:val="24"/>
      <w:szCs w:val="32"/>
    </w:rPr>
  </w:style>
  <w:style w:type="character" w:customStyle="1" w:styleId="60">
    <w:name w:val="标题 1 字符"/>
    <w:basedOn w:val="52"/>
    <w:link w:val="2"/>
    <w:autoRedefine/>
    <w:qFormat/>
    <w:uiPriority w:val="0"/>
    <w:rPr>
      <w:rFonts w:eastAsiaTheme="minorEastAsia"/>
      <w:b/>
      <w:kern w:val="44"/>
      <w:sz w:val="44"/>
      <w:szCs w:val="28"/>
    </w:rPr>
  </w:style>
  <w:style w:type="character" w:customStyle="1" w:styleId="61">
    <w:name w:val="标题 2 字符"/>
    <w:basedOn w:val="52"/>
    <w:link w:val="4"/>
    <w:autoRedefine/>
    <w:qFormat/>
    <w:uiPriority w:val="0"/>
    <w:rPr>
      <w:rFonts w:ascii="Arial" w:hAnsi="Arial" w:eastAsiaTheme="minorEastAsia"/>
      <w:b/>
      <w:bCs/>
      <w:kern w:val="2"/>
      <w:sz w:val="28"/>
      <w:szCs w:val="32"/>
    </w:rPr>
  </w:style>
  <w:style w:type="character" w:customStyle="1" w:styleId="62">
    <w:name w:val="标题 4 字符"/>
    <w:basedOn w:val="52"/>
    <w:link w:val="5"/>
    <w:autoRedefine/>
    <w:qFormat/>
    <w:uiPriority w:val="99"/>
    <w:rPr>
      <w:rFonts w:ascii="Arial" w:hAnsi="Arial" w:eastAsia="黑体"/>
      <w:b/>
      <w:bCs/>
      <w:kern w:val="2"/>
      <w:sz w:val="28"/>
      <w:szCs w:val="28"/>
    </w:rPr>
  </w:style>
  <w:style w:type="character" w:customStyle="1" w:styleId="63">
    <w:name w:val="正文缩进 字符"/>
    <w:link w:val="7"/>
    <w:autoRedefine/>
    <w:qFormat/>
    <w:uiPriority w:val="0"/>
    <w:rPr>
      <w:rFonts w:eastAsia="宋体"/>
      <w:kern w:val="2"/>
      <w:sz w:val="21"/>
      <w:szCs w:val="24"/>
      <w:lang w:val="en-US" w:eastAsia="zh-CN" w:bidi="ar-SA"/>
    </w:rPr>
  </w:style>
  <w:style w:type="character" w:customStyle="1" w:styleId="64">
    <w:name w:val="标题 5 字符"/>
    <w:basedOn w:val="52"/>
    <w:link w:val="6"/>
    <w:autoRedefine/>
    <w:qFormat/>
    <w:uiPriority w:val="0"/>
    <w:rPr>
      <w:b/>
      <w:kern w:val="2"/>
      <w:sz w:val="28"/>
      <w:szCs w:val="24"/>
    </w:rPr>
  </w:style>
  <w:style w:type="character" w:customStyle="1" w:styleId="65">
    <w:name w:val="标题 6 字符"/>
    <w:basedOn w:val="52"/>
    <w:link w:val="8"/>
    <w:autoRedefine/>
    <w:qFormat/>
    <w:uiPriority w:val="9"/>
    <w:rPr>
      <w:rFonts w:ascii="Arial" w:hAnsi="Arial" w:eastAsia="黑体"/>
      <w:b/>
      <w:kern w:val="2"/>
      <w:sz w:val="24"/>
      <w:szCs w:val="24"/>
    </w:rPr>
  </w:style>
  <w:style w:type="character" w:customStyle="1" w:styleId="66">
    <w:name w:val="标题 7 字符"/>
    <w:basedOn w:val="52"/>
    <w:link w:val="9"/>
    <w:autoRedefine/>
    <w:qFormat/>
    <w:uiPriority w:val="9"/>
    <w:rPr>
      <w:b/>
      <w:kern w:val="2"/>
      <w:sz w:val="24"/>
      <w:szCs w:val="24"/>
    </w:rPr>
  </w:style>
  <w:style w:type="character" w:customStyle="1" w:styleId="67">
    <w:name w:val="标题 8 字符"/>
    <w:basedOn w:val="52"/>
    <w:link w:val="10"/>
    <w:autoRedefine/>
    <w:qFormat/>
    <w:uiPriority w:val="9"/>
    <w:rPr>
      <w:rFonts w:ascii="Arial" w:hAnsi="Arial" w:eastAsia="黑体"/>
      <w:kern w:val="2"/>
      <w:sz w:val="24"/>
      <w:szCs w:val="24"/>
    </w:rPr>
  </w:style>
  <w:style w:type="character" w:customStyle="1" w:styleId="68">
    <w:name w:val="标题 9 字符"/>
    <w:basedOn w:val="52"/>
    <w:link w:val="11"/>
    <w:autoRedefine/>
    <w:qFormat/>
    <w:uiPriority w:val="0"/>
    <w:rPr>
      <w:rFonts w:ascii="Arial" w:hAnsi="Arial" w:eastAsia="黑体"/>
      <w:kern w:val="2"/>
      <w:sz w:val="21"/>
      <w:szCs w:val="24"/>
    </w:rPr>
  </w:style>
  <w:style w:type="character" w:customStyle="1" w:styleId="69">
    <w:name w:val="批注文字 字符1"/>
    <w:link w:val="18"/>
    <w:autoRedefine/>
    <w:qFormat/>
    <w:uiPriority w:val="99"/>
    <w:rPr>
      <w:kern w:val="2"/>
      <w:sz w:val="21"/>
      <w:szCs w:val="24"/>
    </w:rPr>
  </w:style>
  <w:style w:type="character" w:customStyle="1" w:styleId="70">
    <w:name w:val="批注主题 字符"/>
    <w:basedOn w:val="69"/>
    <w:link w:val="47"/>
    <w:autoRedefine/>
    <w:qFormat/>
    <w:uiPriority w:val="0"/>
    <w:rPr>
      <w:b/>
      <w:bCs/>
      <w:kern w:val="2"/>
      <w:sz w:val="21"/>
      <w:szCs w:val="24"/>
    </w:rPr>
  </w:style>
  <w:style w:type="character" w:customStyle="1" w:styleId="71">
    <w:name w:val="正文文本 字符1"/>
    <w:basedOn w:val="52"/>
    <w:link w:val="20"/>
    <w:autoRedefine/>
    <w:qFormat/>
    <w:uiPriority w:val="0"/>
    <w:rPr>
      <w:kern w:val="2"/>
      <w:sz w:val="21"/>
      <w:szCs w:val="24"/>
    </w:rPr>
  </w:style>
  <w:style w:type="character" w:customStyle="1" w:styleId="72">
    <w:name w:val="正文文本首行缩进 字符"/>
    <w:link w:val="48"/>
    <w:autoRedefine/>
    <w:qFormat/>
    <w:uiPriority w:val="0"/>
    <w:rPr>
      <w:rFonts w:eastAsia="宋体"/>
      <w:kern w:val="2"/>
      <w:sz w:val="21"/>
      <w:szCs w:val="24"/>
      <w:lang w:val="en-US" w:eastAsia="zh-CN" w:bidi="ar-SA"/>
    </w:rPr>
  </w:style>
  <w:style w:type="character" w:customStyle="1" w:styleId="73">
    <w:name w:val="文档结构图 字符"/>
    <w:basedOn w:val="52"/>
    <w:link w:val="17"/>
    <w:autoRedefine/>
    <w:qFormat/>
    <w:uiPriority w:val="0"/>
    <w:rPr>
      <w:kern w:val="2"/>
      <w:sz w:val="21"/>
      <w:szCs w:val="24"/>
      <w:shd w:val="clear" w:color="auto" w:fill="000080"/>
    </w:rPr>
  </w:style>
  <w:style w:type="character" w:customStyle="1" w:styleId="74">
    <w:name w:val="正文文本缩进 字符1"/>
    <w:basedOn w:val="52"/>
    <w:link w:val="21"/>
    <w:autoRedefine/>
    <w:qFormat/>
    <w:uiPriority w:val="0"/>
    <w:rPr>
      <w:kern w:val="2"/>
      <w:sz w:val="21"/>
      <w:szCs w:val="24"/>
    </w:rPr>
  </w:style>
  <w:style w:type="character" w:customStyle="1" w:styleId="75">
    <w:name w:val="纯文本 字符"/>
    <w:link w:val="26"/>
    <w:autoRedefine/>
    <w:qFormat/>
    <w:uiPriority w:val="0"/>
    <w:rPr>
      <w:rFonts w:ascii="宋体" w:hAnsi="Courier New" w:eastAsia="宋体"/>
      <w:kern w:val="2"/>
      <w:sz w:val="21"/>
      <w:lang w:val="en-US" w:eastAsia="zh-CN" w:bidi="ar-SA"/>
    </w:rPr>
  </w:style>
  <w:style w:type="character" w:customStyle="1" w:styleId="76">
    <w:name w:val="正文文本缩进 2 字符"/>
    <w:link w:val="29"/>
    <w:autoRedefine/>
    <w:qFormat/>
    <w:uiPriority w:val="0"/>
    <w:rPr>
      <w:kern w:val="2"/>
      <w:sz w:val="21"/>
      <w:szCs w:val="24"/>
    </w:rPr>
  </w:style>
  <w:style w:type="character" w:customStyle="1" w:styleId="77">
    <w:name w:val="批注框文本 字符"/>
    <w:basedOn w:val="52"/>
    <w:link w:val="30"/>
    <w:autoRedefine/>
    <w:qFormat/>
    <w:uiPriority w:val="99"/>
    <w:rPr>
      <w:kern w:val="2"/>
      <w:sz w:val="18"/>
      <w:szCs w:val="18"/>
    </w:rPr>
  </w:style>
  <w:style w:type="character" w:customStyle="1" w:styleId="78">
    <w:name w:val="页脚 字符"/>
    <w:basedOn w:val="52"/>
    <w:link w:val="31"/>
    <w:autoRedefine/>
    <w:qFormat/>
    <w:uiPriority w:val="99"/>
    <w:rPr>
      <w:kern w:val="2"/>
      <w:sz w:val="18"/>
      <w:szCs w:val="18"/>
    </w:rPr>
  </w:style>
  <w:style w:type="character" w:customStyle="1" w:styleId="79">
    <w:name w:val="页眉 字符"/>
    <w:link w:val="32"/>
    <w:autoRedefine/>
    <w:qFormat/>
    <w:uiPriority w:val="99"/>
    <w:rPr>
      <w:kern w:val="2"/>
      <w:sz w:val="18"/>
      <w:szCs w:val="18"/>
    </w:rPr>
  </w:style>
  <w:style w:type="character" w:customStyle="1" w:styleId="80">
    <w:name w:val="HTML 预设格式 字符"/>
    <w:link w:val="44"/>
    <w:autoRedefine/>
    <w:qFormat/>
    <w:uiPriority w:val="0"/>
    <w:rPr>
      <w:rFonts w:ascii="宋体" w:hAnsi="宋体" w:cs="宋体"/>
      <w:sz w:val="24"/>
      <w:szCs w:val="24"/>
    </w:rPr>
  </w:style>
  <w:style w:type="character" w:customStyle="1" w:styleId="81">
    <w:name w:val="标题 字符"/>
    <w:link w:val="46"/>
    <w:autoRedefine/>
    <w:qFormat/>
    <w:uiPriority w:val="0"/>
    <w:rPr>
      <w:rFonts w:ascii="Arial" w:hAnsi="Arial" w:eastAsia="隶书" w:cs="Arial"/>
      <w:b/>
      <w:bCs/>
      <w:kern w:val="2"/>
      <w:sz w:val="32"/>
      <w:szCs w:val="32"/>
    </w:rPr>
  </w:style>
  <w:style w:type="paragraph" w:customStyle="1" w:styleId="82">
    <w:name w:val="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autoRedefine/>
    <w:qFormat/>
    <w:uiPriority w:val="0"/>
    <w:pPr>
      <w:spacing w:line="360" w:lineRule="auto"/>
      <w:ind w:firstLine="516" w:firstLineChars="215"/>
    </w:pPr>
    <w:rPr>
      <w:sz w:val="24"/>
      <w:szCs w:val="20"/>
    </w:rPr>
  </w:style>
  <w:style w:type="character" w:customStyle="1" w:styleId="84">
    <w:name w:val="样式1 Char Char Char"/>
    <w:link w:val="83"/>
    <w:autoRedefine/>
    <w:qFormat/>
    <w:uiPriority w:val="0"/>
    <w:rPr>
      <w:rFonts w:eastAsia="宋体"/>
      <w:kern w:val="2"/>
      <w:sz w:val="24"/>
      <w:lang w:val="en-US" w:eastAsia="zh-CN" w:bidi="ar-SA"/>
    </w:rPr>
  </w:style>
  <w:style w:type="paragraph" w:customStyle="1" w:styleId="85">
    <w:name w:val="样式1"/>
    <w:basedOn w:val="46"/>
    <w:link w:val="86"/>
    <w:autoRedefine/>
    <w:qFormat/>
    <w:uiPriority w:val="0"/>
    <w:pPr>
      <w:spacing w:before="120" w:after="120"/>
    </w:pPr>
    <w:rPr>
      <w:rFonts w:eastAsia="黑体" w:cs="Arial"/>
      <w:b w:val="0"/>
      <w:sz w:val="30"/>
      <w:szCs w:val="21"/>
    </w:rPr>
  </w:style>
  <w:style w:type="character" w:customStyle="1" w:styleId="86">
    <w:name w:val="样式1 Char"/>
    <w:link w:val="85"/>
    <w:autoRedefine/>
    <w:qFormat/>
    <w:uiPriority w:val="0"/>
    <w:rPr>
      <w:rFonts w:ascii="Arial" w:hAnsi="Arial" w:eastAsia="黑体" w:cs="Arial"/>
      <w:bCs/>
      <w:kern w:val="2"/>
      <w:sz w:val="30"/>
      <w:szCs w:val="21"/>
      <w:lang w:val="en-US" w:eastAsia="zh-CN" w:bidi="ar-SA"/>
    </w:rPr>
  </w:style>
  <w:style w:type="paragraph" w:customStyle="1" w:styleId="87">
    <w:name w:val="Char Char Char Char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autoRedefine/>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autoRedefine/>
    <w:qFormat/>
    <w:uiPriority w:val="0"/>
    <w:rPr>
      <w:rFonts w:ascii="仿宋_GB2312" w:eastAsia="仿宋_GB2312"/>
      <w:b/>
      <w:sz w:val="32"/>
      <w:szCs w:val="32"/>
    </w:rPr>
  </w:style>
  <w:style w:type="character" w:customStyle="1" w:styleId="91">
    <w:name w:val="tpc_title1"/>
    <w:autoRedefine/>
    <w:qFormat/>
    <w:uiPriority w:val="0"/>
    <w:rPr>
      <w:b/>
      <w:bCs/>
      <w:sz w:val="18"/>
      <w:szCs w:val="18"/>
    </w:rPr>
  </w:style>
  <w:style w:type="character" w:customStyle="1" w:styleId="92">
    <w:name w:val="tpc_content1"/>
    <w:autoRedefine/>
    <w:qFormat/>
    <w:uiPriority w:val="0"/>
    <w:rPr>
      <w:sz w:val="20"/>
      <w:szCs w:val="20"/>
    </w:rPr>
  </w:style>
  <w:style w:type="paragraph" w:customStyle="1" w:styleId="93">
    <w:name w:val="正文缩进2格"/>
    <w:basedOn w:val="1"/>
    <w:autoRedefine/>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autoRedefine/>
    <w:qFormat/>
    <w:uiPriority w:val="0"/>
    <w:pPr>
      <w:ind w:firstLine="420" w:firstLineChars="200"/>
    </w:pPr>
  </w:style>
  <w:style w:type="character" w:customStyle="1" w:styleId="95">
    <w:name w:val="列表段落 字符"/>
    <w:link w:val="94"/>
    <w:autoRedefine/>
    <w:qFormat/>
    <w:uiPriority w:val="34"/>
    <w:rPr>
      <w:kern w:val="2"/>
      <w:sz w:val="21"/>
      <w:szCs w:val="24"/>
    </w:rPr>
  </w:style>
  <w:style w:type="paragraph" w:customStyle="1" w:styleId="96">
    <w:name w:val="正文1"/>
    <w:basedOn w:val="1"/>
    <w:autoRedefine/>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autoRedefine/>
    <w:qFormat/>
    <w:uiPriority w:val="0"/>
    <w:pPr>
      <w:spacing w:line="360" w:lineRule="auto"/>
      <w:ind w:firstLine="200" w:firstLineChars="200"/>
    </w:pPr>
    <w:rPr>
      <w:rFonts w:ascii="Tahoma" w:hAnsi="Tahoma"/>
      <w:sz w:val="24"/>
    </w:rPr>
  </w:style>
  <w:style w:type="paragraph" w:customStyle="1" w:styleId="98">
    <w:name w:val="缩进正文"/>
    <w:basedOn w:val="1"/>
    <w:link w:val="99"/>
    <w:autoRedefine/>
    <w:qFormat/>
    <w:uiPriority w:val="0"/>
    <w:pPr>
      <w:ind w:firstLine="560" w:firstLineChars="200"/>
    </w:pPr>
    <w:rPr>
      <w:rFonts w:eastAsia="仿宋_GB2312" w:cs="宋体"/>
      <w:sz w:val="28"/>
      <w:szCs w:val="20"/>
    </w:rPr>
  </w:style>
  <w:style w:type="character" w:customStyle="1" w:styleId="99">
    <w:name w:val="缩进正文 Char"/>
    <w:link w:val="98"/>
    <w:autoRedefine/>
    <w:qFormat/>
    <w:uiPriority w:val="0"/>
    <w:rPr>
      <w:rFonts w:eastAsia="仿宋_GB2312" w:cs="宋体"/>
      <w:kern w:val="2"/>
      <w:sz w:val="28"/>
      <w:lang w:val="en-US" w:eastAsia="zh-CN" w:bidi="ar-SA"/>
    </w:rPr>
  </w:style>
  <w:style w:type="character" w:customStyle="1" w:styleId="100">
    <w:name w:val="访问过的超链接1"/>
    <w:autoRedefine/>
    <w:qFormat/>
    <w:uiPriority w:val="0"/>
    <w:rPr>
      <w:color w:val="800080"/>
      <w:u w:val="single"/>
    </w:rPr>
  </w:style>
  <w:style w:type="paragraph" w:customStyle="1" w:styleId="101">
    <w:name w:val="Char Char Char Char Char Char Char"/>
    <w:basedOn w:val="1"/>
    <w:autoRedefine/>
    <w:qFormat/>
    <w:uiPriority w:val="0"/>
    <w:pPr>
      <w:widowControl/>
      <w:adjustRightInd w:val="0"/>
      <w:spacing w:after="160" w:line="240" w:lineRule="exact"/>
      <w:jc w:val="left"/>
      <w:textAlignment w:val="baseline"/>
    </w:pPr>
  </w:style>
  <w:style w:type="character" w:customStyle="1" w:styleId="102">
    <w:name w:val="正文缩进 Char1"/>
    <w:autoRedefine/>
    <w:qFormat/>
    <w:uiPriority w:val="0"/>
    <w:rPr>
      <w:rFonts w:eastAsia="宋体"/>
      <w:kern w:val="2"/>
      <w:sz w:val="21"/>
      <w:lang w:val="en-US" w:eastAsia="zh-CN" w:bidi="ar-SA"/>
    </w:rPr>
  </w:style>
  <w:style w:type="paragraph" w:customStyle="1" w:styleId="103">
    <w:name w:val="Default"/>
    <w:autoRedefine/>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autoRedefine/>
    <w:unhideWhenUsed/>
    <w:qFormat/>
    <w:uiPriority w:val="34"/>
    <w:pPr>
      <w:ind w:firstLine="420" w:firstLineChars="200"/>
    </w:pPr>
  </w:style>
  <w:style w:type="paragraph" w:customStyle="1" w:styleId="105">
    <w:name w:val="Table Paragraph"/>
    <w:basedOn w:val="1"/>
    <w:autoRedefine/>
    <w:qFormat/>
    <w:uiPriority w:val="0"/>
    <w:pPr>
      <w:autoSpaceDE w:val="0"/>
      <w:autoSpaceDN w:val="0"/>
      <w:adjustRightInd w:val="0"/>
      <w:jc w:val="left"/>
    </w:pPr>
    <w:rPr>
      <w:rFonts w:ascii="宋体" w:hAnsi="宋体" w:cs="宋体"/>
      <w:kern w:val="0"/>
      <w:sz w:val="24"/>
    </w:rPr>
  </w:style>
  <w:style w:type="character" w:customStyle="1" w:styleId="106">
    <w:name w:val="font11"/>
    <w:basedOn w:val="52"/>
    <w:autoRedefine/>
    <w:qFormat/>
    <w:uiPriority w:val="0"/>
    <w:rPr>
      <w:rFonts w:hint="eastAsia" w:ascii="宋体" w:hAnsi="宋体" w:eastAsia="宋体" w:cs="宋体"/>
      <w:b/>
      <w:color w:val="000000"/>
      <w:sz w:val="21"/>
      <w:szCs w:val="21"/>
      <w:u w:val="none"/>
    </w:rPr>
  </w:style>
  <w:style w:type="character" w:customStyle="1" w:styleId="107">
    <w:name w:val="批注文字 Char1"/>
    <w:autoRedefine/>
    <w:qFormat/>
    <w:locked/>
    <w:uiPriority w:val="0"/>
    <w:rPr>
      <w:rFonts w:ascii="Calibri" w:hAnsi="Calibri" w:eastAsia="宋体" w:cs="Calibri"/>
      <w:szCs w:val="21"/>
    </w:rPr>
  </w:style>
  <w:style w:type="character" w:customStyle="1" w:styleId="108">
    <w:name w:val="title1"/>
    <w:autoRedefine/>
    <w:qFormat/>
    <w:uiPriority w:val="0"/>
    <w:rPr>
      <w:rFonts w:hint="eastAsia" w:ascii="微软雅黑" w:hAnsi="微软雅黑" w:eastAsia="微软雅黑"/>
      <w:sz w:val="21"/>
      <w:szCs w:val="21"/>
    </w:rPr>
  </w:style>
  <w:style w:type="character" w:customStyle="1" w:styleId="109">
    <w:name w:val="sect2title1"/>
    <w:autoRedefine/>
    <w:qFormat/>
    <w:uiPriority w:val="0"/>
    <w:rPr>
      <w:rFonts w:hint="eastAsia" w:ascii="微软雅黑" w:hAnsi="微软雅黑" w:eastAsia="微软雅黑"/>
      <w:b/>
      <w:bCs/>
      <w:sz w:val="21"/>
      <w:szCs w:val="21"/>
    </w:rPr>
  </w:style>
  <w:style w:type="paragraph" w:customStyle="1" w:styleId="110">
    <w:name w:val="标题1"/>
    <w:basedOn w:val="1"/>
    <w:autoRedefine/>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autoRedefine/>
    <w:qFormat/>
    <w:uiPriority w:val="0"/>
    <w:rPr>
      <w:rFonts w:ascii="Tahoma" w:hAnsi="Tahoma" w:eastAsia="Tahoma" w:cs="Tahoma"/>
      <w:color w:val="000000"/>
      <w:sz w:val="20"/>
      <w:szCs w:val="20"/>
      <w:u w:val="none"/>
    </w:rPr>
  </w:style>
  <w:style w:type="paragraph" w:customStyle="1" w:styleId="112">
    <w:name w:val="font5"/>
    <w:basedOn w:val="1"/>
    <w:autoRedefine/>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autoRedefine/>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autoRedefine/>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autoRedefine/>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autoRedefine/>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autoRedefine/>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autoRedefine/>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autoRedefine/>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autoRedefine/>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autoRedefine/>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autoRedefine/>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autoRedefine/>
    <w:qFormat/>
    <w:uiPriority w:val="0"/>
    <w:rPr>
      <w:rFonts w:hint="eastAsia" w:ascii="仿宋_GB2312" w:eastAsia="仿宋_GB2312" w:cs="仿宋_GB2312"/>
      <w:color w:val="000000"/>
      <w:sz w:val="20"/>
      <w:szCs w:val="20"/>
      <w:u w:val="none"/>
    </w:rPr>
  </w:style>
  <w:style w:type="character" w:customStyle="1" w:styleId="167">
    <w:name w:val="font31"/>
    <w:basedOn w:val="52"/>
    <w:autoRedefine/>
    <w:qFormat/>
    <w:uiPriority w:val="0"/>
    <w:rPr>
      <w:rFonts w:hint="default" w:ascii="Symbol" w:hAnsi="Symbol" w:cs="Symbol"/>
      <w:color w:val="000000"/>
      <w:sz w:val="20"/>
      <w:szCs w:val="20"/>
      <w:u w:val="none"/>
    </w:rPr>
  </w:style>
  <w:style w:type="character" w:customStyle="1" w:styleId="168">
    <w:name w:val="font71"/>
    <w:basedOn w:val="52"/>
    <w:autoRedefine/>
    <w:qFormat/>
    <w:uiPriority w:val="0"/>
    <w:rPr>
      <w:rFonts w:ascii="Arial" w:hAnsi="Arial" w:cs="Arial"/>
      <w:color w:val="000000"/>
      <w:sz w:val="20"/>
      <w:szCs w:val="20"/>
      <w:u w:val="none"/>
    </w:rPr>
  </w:style>
  <w:style w:type="character" w:customStyle="1" w:styleId="169">
    <w:name w:val="font21"/>
    <w:basedOn w:val="52"/>
    <w:autoRedefine/>
    <w:qFormat/>
    <w:uiPriority w:val="0"/>
    <w:rPr>
      <w:rFonts w:hint="default" w:ascii="Symbol" w:hAnsi="Symbol" w:cs="Symbol"/>
      <w:color w:val="000000"/>
      <w:sz w:val="20"/>
      <w:szCs w:val="20"/>
      <w:u w:val="none"/>
    </w:rPr>
  </w:style>
  <w:style w:type="character" w:customStyle="1" w:styleId="170">
    <w:name w:val="font91"/>
    <w:basedOn w:val="52"/>
    <w:autoRedefine/>
    <w:qFormat/>
    <w:uiPriority w:val="0"/>
    <w:rPr>
      <w:rFonts w:ascii="Arial" w:hAnsi="Arial" w:cs="Arial"/>
      <w:color w:val="000000"/>
      <w:sz w:val="20"/>
      <w:szCs w:val="20"/>
      <w:u w:val="none"/>
    </w:rPr>
  </w:style>
  <w:style w:type="character" w:customStyle="1" w:styleId="171">
    <w:name w:val="font51"/>
    <w:basedOn w:val="52"/>
    <w:autoRedefine/>
    <w:qFormat/>
    <w:uiPriority w:val="0"/>
    <w:rPr>
      <w:rFonts w:ascii="仿宋" w:hAnsi="仿宋" w:eastAsia="仿宋" w:cs="仿宋"/>
      <w:color w:val="000000"/>
      <w:sz w:val="21"/>
      <w:szCs w:val="21"/>
      <w:u w:val="none"/>
    </w:rPr>
  </w:style>
  <w:style w:type="character" w:customStyle="1" w:styleId="172">
    <w:name w:val="font101"/>
    <w:basedOn w:val="52"/>
    <w:autoRedefine/>
    <w:qFormat/>
    <w:uiPriority w:val="0"/>
    <w:rPr>
      <w:rFonts w:hint="eastAsia" w:ascii="仿宋_GB2312" w:eastAsia="仿宋_GB2312" w:cs="仿宋_GB2312"/>
      <w:color w:val="000000"/>
      <w:sz w:val="20"/>
      <w:szCs w:val="20"/>
      <w:u w:val="none"/>
    </w:rPr>
  </w:style>
  <w:style w:type="character" w:customStyle="1" w:styleId="173">
    <w:name w:val="font61"/>
    <w:basedOn w:val="52"/>
    <w:autoRedefine/>
    <w:qFormat/>
    <w:uiPriority w:val="0"/>
    <w:rPr>
      <w:rFonts w:hint="eastAsia" w:ascii="宋体" w:hAnsi="宋体" w:eastAsia="宋体" w:cs="宋体"/>
      <w:color w:val="000000"/>
      <w:sz w:val="20"/>
      <w:szCs w:val="20"/>
      <w:u w:val="none"/>
    </w:rPr>
  </w:style>
  <w:style w:type="character" w:customStyle="1" w:styleId="174">
    <w:name w:val="font81"/>
    <w:basedOn w:val="52"/>
    <w:autoRedefine/>
    <w:qFormat/>
    <w:uiPriority w:val="0"/>
    <w:rPr>
      <w:rFonts w:hint="eastAsia" w:ascii="仿宋" w:hAnsi="仿宋" w:eastAsia="仿宋" w:cs="仿宋"/>
      <w:color w:val="000000"/>
      <w:sz w:val="21"/>
      <w:szCs w:val="21"/>
      <w:u w:val="none"/>
    </w:rPr>
  </w:style>
  <w:style w:type="character" w:customStyle="1" w:styleId="175">
    <w:name w:val="font111"/>
    <w:basedOn w:val="52"/>
    <w:autoRedefine/>
    <w:qFormat/>
    <w:uiPriority w:val="0"/>
    <w:rPr>
      <w:rFonts w:hint="eastAsia" w:ascii="仿宋_GB2312" w:eastAsia="仿宋_GB2312" w:cs="仿宋_GB2312"/>
      <w:color w:val="000000"/>
      <w:sz w:val="21"/>
      <w:szCs w:val="21"/>
      <w:u w:val="none"/>
    </w:rPr>
  </w:style>
  <w:style w:type="character" w:customStyle="1" w:styleId="176">
    <w:name w:val="font121"/>
    <w:basedOn w:val="52"/>
    <w:autoRedefine/>
    <w:qFormat/>
    <w:uiPriority w:val="0"/>
    <w:rPr>
      <w:rFonts w:ascii="Arial" w:hAnsi="Arial" w:cs="Arial"/>
      <w:color w:val="000000"/>
      <w:sz w:val="20"/>
      <w:szCs w:val="20"/>
      <w:u w:val="none"/>
    </w:rPr>
  </w:style>
  <w:style w:type="character" w:customStyle="1" w:styleId="177">
    <w:name w:val="font112"/>
    <w:basedOn w:val="52"/>
    <w:autoRedefine/>
    <w:qFormat/>
    <w:uiPriority w:val="0"/>
    <w:rPr>
      <w:rFonts w:hint="eastAsia" w:ascii="仿宋_GB2312" w:eastAsia="仿宋_GB2312" w:cs="仿宋_GB2312"/>
      <w:color w:val="000000"/>
      <w:sz w:val="21"/>
      <w:szCs w:val="21"/>
      <w:u w:val="none"/>
    </w:rPr>
  </w:style>
  <w:style w:type="paragraph" w:customStyle="1" w:styleId="178">
    <w:name w:val="xl29164"/>
    <w:basedOn w:val="1"/>
    <w:autoRedefine/>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autoRedefine/>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autoRedefine/>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autoRedefine/>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autoRedefine/>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autoRedefine/>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autoRedefine/>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autoRedefine/>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autoRedefine/>
    <w:qFormat/>
    <w:uiPriority w:val="0"/>
    <w:pPr>
      <w:spacing w:beforeLines="50"/>
      <w:ind w:firstLine="200" w:firstLineChars="200"/>
    </w:pPr>
    <w:rPr>
      <w:rFonts w:ascii="Calibri" w:hAnsi="Calibri" w:eastAsia="华文仿宋"/>
      <w:szCs w:val="22"/>
    </w:rPr>
  </w:style>
  <w:style w:type="paragraph" w:customStyle="1" w:styleId="256">
    <w:name w:val="正文A缩进"/>
    <w:basedOn w:val="1"/>
    <w:autoRedefine/>
    <w:qFormat/>
    <w:uiPriority w:val="0"/>
    <w:pPr>
      <w:spacing w:line="360" w:lineRule="auto"/>
      <w:ind w:firstLine="200" w:firstLineChars="200"/>
    </w:pPr>
    <w:rPr>
      <w:kern w:val="0"/>
      <w:sz w:val="28"/>
      <w:szCs w:val="20"/>
    </w:rPr>
  </w:style>
  <w:style w:type="paragraph" w:customStyle="1" w:styleId="257">
    <w:name w:val="_Style 1"/>
    <w:autoRedefine/>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autoRedefine/>
    <w:qFormat/>
    <w:uiPriority w:val="0"/>
    <w:rPr>
      <w:b/>
      <w:bCs/>
      <w:kern w:val="2"/>
      <w:sz w:val="28"/>
      <w:szCs w:val="28"/>
    </w:rPr>
  </w:style>
  <w:style w:type="character" w:customStyle="1" w:styleId="259">
    <w:name w:val="标题 6 Char"/>
    <w:basedOn w:val="52"/>
    <w:autoRedefine/>
    <w:qFormat/>
    <w:uiPriority w:val="9"/>
    <w:rPr>
      <w:rFonts w:asciiTheme="majorHAnsi" w:hAnsiTheme="majorHAnsi" w:eastAsiaTheme="majorEastAsia" w:cstheme="majorBidi"/>
      <w:b/>
      <w:bCs/>
      <w:kern w:val="2"/>
      <w:sz w:val="24"/>
      <w:szCs w:val="24"/>
    </w:rPr>
  </w:style>
  <w:style w:type="character" w:customStyle="1" w:styleId="260">
    <w:name w:val="标题 7 Char"/>
    <w:basedOn w:val="52"/>
    <w:autoRedefine/>
    <w:qFormat/>
    <w:uiPriority w:val="9"/>
    <w:rPr>
      <w:b/>
      <w:bCs/>
      <w:kern w:val="2"/>
      <w:sz w:val="24"/>
      <w:szCs w:val="24"/>
    </w:rPr>
  </w:style>
  <w:style w:type="character" w:customStyle="1" w:styleId="261">
    <w:name w:val="标题 8 Char"/>
    <w:basedOn w:val="52"/>
    <w:autoRedefine/>
    <w:qFormat/>
    <w:uiPriority w:val="9"/>
    <w:rPr>
      <w:rFonts w:asciiTheme="majorHAnsi" w:hAnsiTheme="majorHAnsi" w:eastAsiaTheme="majorEastAsia" w:cstheme="majorBidi"/>
      <w:kern w:val="2"/>
      <w:sz w:val="24"/>
      <w:szCs w:val="24"/>
    </w:rPr>
  </w:style>
  <w:style w:type="character" w:customStyle="1" w:styleId="262">
    <w:name w:val="标题 9 Char"/>
    <w:basedOn w:val="52"/>
    <w:autoRedefine/>
    <w:qFormat/>
    <w:uiPriority w:val="0"/>
    <w:rPr>
      <w:rFonts w:asciiTheme="majorHAnsi" w:hAnsiTheme="majorHAnsi" w:eastAsiaTheme="majorEastAsia" w:cstheme="majorBidi"/>
      <w:kern w:val="2"/>
      <w:sz w:val="21"/>
      <w:szCs w:val="21"/>
    </w:rPr>
  </w:style>
  <w:style w:type="paragraph" w:customStyle="1" w:styleId="263">
    <w:name w:val="！表格内容"/>
    <w:basedOn w:val="1"/>
    <w:autoRedefine/>
    <w:qFormat/>
    <w:uiPriority w:val="0"/>
    <w:pPr>
      <w:spacing w:line="320" w:lineRule="atLeast"/>
    </w:pPr>
  </w:style>
  <w:style w:type="character" w:customStyle="1" w:styleId="264">
    <w:name w:val="页眉 Char2"/>
    <w:basedOn w:val="52"/>
    <w:autoRedefine/>
    <w:qFormat/>
    <w:uiPriority w:val="99"/>
    <w:rPr>
      <w:rFonts w:ascii="Times New Roman" w:hAnsi="Times New Roman" w:eastAsia="宋体" w:cs="Times New Roman"/>
      <w:sz w:val="18"/>
      <w:szCs w:val="18"/>
    </w:rPr>
  </w:style>
  <w:style w:type="character" w:customStyle="1" w:styleId="265">
    <w:name w:val="页脚 Char1"/>
    <w:basedOn w:val="52"/>
    <w:autoRedefine/>
    <w:qFormat/>
    <w:uiPriority w:val="99"/>
    <w:rPr>
      <w:rFonts w:ascii="Times New Roman" w:hAnsi="Times New Roman" w:eastAsia="宋体" w:cs="Times New Roman"/>
      <w:sz w:val="18"/>
      <w:szCs w:val="18"/>
    </w:rPr>
  </w:style>
  <w:style w:type="paragraph" w:customStyle="1" w:styleId="266">
    <w:name w:val="Ｒ03－xoL"/>
    <w:next w:val="1"/>
    <w:autoRedefine/>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autoRedefine/>
    <w:qFormat/>
    <w:uiPriority w:val="99"/>
    <w:rPr>
      <w:rFonts w:ascii="Times New Roman" w:hAnsi="Times New Roman" w:eastAsia="宋体" w:cs="Times New Roman"/>
      <w:szCs w:val="24"/>
    </w:rPr>
  </w:style>
  <w:style w:type="character" w:customStyle="1" w:styleId="268">
    <w:name w:val="文档结构图 Char1"/>
    <w:basedOn w:val="52"/>
    <w:autoRedefine/>
    <w:qFormat/>
    <w:uiPriority w:val="0"/>
    <w:rPr>
      <w:rFonts w:ascii="宋体" w:hAnsi="Times New Roman" w:eastAsia="宋体" w:cs="Times New Roman"/>
      <w:sz w:val="18"/>
      <w:szCs w:val="18"/>
    </w:rPr>
  </w:style>
  <w:style w:type="character" w:customStyle="1" w:styleId="269">
    <w:name w:val="批注主题 Char1"/>
    <w:basedOn w:val="107"/>
    <w:autoRedefine/>
    <w:qFormat/>
    <w:uiPriority w:val="0"/>
    <w:rPr>
      <w:rFonts w:ascii="Times New Roman" w:hAnsi="Times New Roman" w:eastAsia="宋体" w:cs="Times New Roman"/>
      <w:b/>
      <w:bCs/>
      <w:szCs w:val="24"/>
    </w:rPr>
  </w:style>
  <w:style w:type="character" w:customStyle="1" w:styleId="270">
    <w:name w:val="批注框文本 Char1"/>
    <w:basedOn w:val="52"/>
    <w:autoRedefine/>
    <w:qFormat/>
    <w:uiPriority w:val="0"/>
    <w:rPr>
      <w:rFonts w:ascii="Times New Roman" w:hAnsi="Times New Roman" w:eastAsia="宋体" w:cs="Times New Roman"/>
      <w:sz w:val="18"/>
      <w:szCs w:val="18"/>
    </w:rPr>
  </w:style>
  <w:style w:type="character" w:customStyle="1" w:styleId="271">
    <w:name w:val="标题 1 Char1"/>
    <w:basedOn w:val="52"/>
    <w:autoRedefine/>
    <w:qFormat/>
    <w:uiPriority w:val="0"/>
    <w:rPr>
      <w:b/>
      <w:bCs/>
      <w:kern w:val="44"/>
      <w:sz w:val="44"/>
      <w:szCs w:val="44"/>
    </w:rPr>
  </w:style>
  <w:style w:type="character" w:customStyle="1" w:styleId="272">
    <w:name w:val="标题 2 Char1"/>
    <w:basedOn w:val="52"/>
    <w:autoRedefine/>
    <w:qFormat/>
    <w:uiPriority w:val="0"/>
    <w:rPr>
      <w:rFonts w:asciiTheme="majorHAnsi" w:hAnsiTheme="majorHAnsi" w:eastAsiaTheme="majorEastAsia" w:cstheme="majorBidi"/>
      <w:b/>
      <w:bCs/>
      <w:kern w:val="2"/>
      <w:sz w:val="32"/>
      <w:szCs w:val="32"/>
    </w:rPr>
  </w:style>
  <w:style w:type="character" w:customStyle="1" w:styleId="273">
    <w:name w:val="标题 3 Char1"/>
    <w:basedOn w:val="52"/>
    <w:autoRedefine/>
    <w:qFormat/>
    <w:uiPriority w:val="99"/>
    <w:rPr>
      <w:rFonts w:ascii="宋体" w:hAnsi="Arial"/>
      <w:b/>
      <w:kern w:val="2"/>
      <w:sz w:val="28"/>
    </w:rPr>
  </w:style>
  <w:style w:type="character" w:customStyle="1" w:styleId="274">
    <w:name w:val="Char Char3"/>
    <w:autoRedefine/>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autoRedefine/>
    <w:qFormat/>
    <w:uiPriority w:val="0"/>
    <w:rPr>
      <w:rFonts w:eastAsia="Times New Roman"/>
      <w:sz w:val="24"/>
      <w:szCs w:val="24"/>
    </w:rPr>
  </w:style>
  <w:style w:type="paragraph" w:customStyle="1" w:styleId="276">
    <w:name w:val="正文－段落"/>
    <w:link w:val="275"/>
    <w:autoRedefine/>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autoRedefine/>
    <w:qFormat/>
    <w:uiPriority w:val="0"/>
    <w:rPr>
      <w:rFonts w:ascii="宋体" w:hAnsi="Courier New"/>
      <w:spacing w:val="-8"/>
      <w:kern w:val="2"/>
      <w:sz w:val="24"/>
    </w:rPr>
  </w:style>
  <w:style w:type="character" w:customStyle="1" w:styleId="278">
    <w:name w:val="日期 Char"/>
    <w:autoRedefine/>
    <w:qFormat/>
    <w:uiPriority w:val="0"/>
    <w:rPr>
      <w:rFonts w:ascii="宋体" w:hAnsi="宋体"/>
      <w:sz w:val="24"/>
    </w:rPr>
  </w:style>
  <w:style w:type="character" w:customStyle="1" w:styleId="279">
    <w:name w:val="Char Char9"/>
    <w:autoRedefine/>
    <w:qFormat/>
    <w:uiPriority w:val="0"/>
    <w:rPr>
      <w:rFonts w:hint="default" w:ascii="Calibri" w:hAnsi="Calibri" w:eastAsia="宋体"/>
      <w:sz w:val="18"/>
      <w:szCs w:val="18"/>
      <w:lang w:bidi="ar-SA"/>
    </w:rPr>
  </w:style>
  <w:style w:type="character" w:customStyle="1" w:styleId="280">
    <w:name w:val="Char Char17"/>
    <w:autoRedefine/>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autoRedefine/>
    <w:qFormat/>
    <w:uiPriority w:val="0"/>
    <w:rPr>
      <w:rFonts w:ascii="黑体" w:hAnsi="Courier New" w:eastAsia="黑体" w:cs="Courier New"/>
    </w:rPr>
  </w:style>
  <w:style w:type="character" w:customStyle="1" w:styleId="282">
    <w:name w:val="1.5倍行距 Char Char"/>
    <w:link w:val="283"/>
    <w:autoRedefine/>
    <w:qFormat/>
    <w:uiPriority w:val="0"/>
    <w:rPr>
      <w:kern w:val="2"/>
      <w:sz w:val="21"/>
      <w:szCs w:val="24"/>
    </w:rPr>
  </w:style>
  <w:style w:type="paragraph" w:customStyle="1" w:styleId="283">
    <w:name w:val="1.5倍行距"/>
    <w:basedOn w:val="1"/>
    <w:link w:val="282"/>
    <w:autoRedefine/>
    <w:qFormat/>
    <w:uiPriority w:val="0"/>
    <w:pPr>
      <w:spacing w:line="360" w:lineRule="auto"/>
      <w:ind w:firstLine="420"/>
    </w:pPr>
  </w:style>
  <w:style w:type="character" w:customStyle="1" w:styleId="284">
    <w:name w:val="H2 Char1"/>
    <w:autoRedefine/>
    <w:qFormat/>
    <w:uiPriority w:val="0"/>
    <w:rPr>
      <w:rFonts w:ascii="Cambria" w:hAnsi="Cambria"/>
      <w:b/>
      <w:bCs/>
      <w:sz w:val="32"/>
      <w:szCs w:val="32"/>
    </w:rPr>
  </w:style>
  <w:style w:type="character" w:customStyle="1" w:styleId="285">
    <w:name w:val="Char Char4"/>
    <w:autoRedefine/>
    <w:qFormat/>
    <w:uiPriority w:val="0"/>
    <w:rPr>
      <w:rFonts w:hint="default" w:ascii="Calibri" w:hAnsi="Calibri" w:eastAsia="宋体"/>
      <w:kern w:val="2"/>
      <w:sz w:val="21"/>
      <w:szCs w:val="22"/>
      <w:lang w:val="en-US" w:eastAsia="zh-CN" w:bidi="ar-SA"/>
    </w:rPr>
  </w:style>
  <w:style w:type="character" w:customStyle="1" w:styleId="286">
    <w:name w:val="正文文本缩进 2 Char"/>
    <w:autoRedefine/>
    <w:qFormat/>
    <w:uiPriority w:val="0"/>
    <w:rPr>
      <w:kern w:val="2"/>
      <w:sz w:val="21"/>
    </w:rPr>
  </w:style>
  <w:style w:type="character" w:customStyle="1" w:styleId="287">
    <w:name w:val="签名 字符"/>
    <w:link w:val="33"/>
    <w:autoRedefine/>
    <w:qFormat/>
    <w:uiPriority w:val="0"/>
    <w:rPr>
      <w:rFonts w:eastAsia="楷体_GB2312"/>
      <w:kern w:val="2"/>
      <w:sz w:val="21"/>
    </w:rPr>
  </w:style>
  <w:style w:type="character" w:customStyle="1" w:styleId="288">
    <w:name w:val="标题2 Char"/>
    <w:link w:val="289"/>
    <w:autoRedefine/>
    <w:qFormat/>
    <w:uiPriority w:val="0"/>
    <w:rPr>
      <w:rFonts w:ascii="仿宋" w:hAnsi="仿宋" w:eastAsia="仿宋"/>
      <w:b/>
      <w:bCs/>
      <w:color w:val="000000"/>
      <w:kern w:val="2"/>
      <w:sz w:val="24"/>
      <w:szCs w:val="24"/>
    </w:rPr>
  </w:style>
  <w:style w:type="paragraph" w:customStyle="1" w:styleId="289">
    <w:name w:val="标题2"/>
    <w:basedOn w:val="290"/>
    <w:link w:val="288"/>
    <w:autoRedefine/>
    <w:qFormat/>
    <w:uiPriority w:val="0"/>
    <w:pPr>
      <w:tabs>
        <w:tab w:val="left" w:pos="425"/>
        <w:tab w:val="left" w:pos="709"/>
        <w:tab w:val="left" w:pos="851"/>
        <w:tab w:val="left" w:pos="1419"/>
      </w:tabs>
    </w:pPr>
    <w:rPr>
      <w:szCs w:val="24"/>
    </w:rPr>
  </w:style>
  <w:style w:type="paragraph" w:customStyle="1" w:styleId="290">
    <w:name w:val="三级"/>
    <w:basedOn w:val="3"/>
    <w:link w:val="291"/>
    <w:autoRedefine/>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autoRedefine/>
    <w:qFormat/>
    <w:uiPriority w:val="0"/>
    <w:rPr>
      <w:rFonts w:ascii="仿宋" w:hAnsi="仿宋" w:eastAsia="仿宋"/>
      <w:b/>
      <w:bCs/>
      <w:color w:val="000000"/>
      <w:kern w:val="2"/>
      <w:sz w:val="32"/>
      <w:szCs w:val="32"/>
    </w:rPr>
  </w:style>
  <w:style w:type="character" w:customStyle="1" w:styleId="292">
    <w:name w:val="正文文本首行缩进 2 字符"/>
    <w:link w:val="49"/>
    <w:autoRedefine/>
    <w:qFormat/>
    <w:uiPriority w:val="0"/>
    <w:rPr>
      <w:sz w:val="24"/>
      <w:szCs w:val="24"/>
    </w:rPr>
  </w:style>
  <w:style w:type="character" w:customStyle="1" w:styleId="293">
    <w:name w:val="正文首行缩进 Char Char Char1"/>
    <w:autoRedefine/>
    <w:qFormat/>
    <w:uiPriority w:val="0"/>
    <w:rPr>
      <w:rFonts w:ascii="Times New Roman" w:hAnsi="Times New Roman"/>
      <w:kern w:val="2"/>
      <w:sz w:val="24"/>
      <w:szCs w:val="24"/>
    </w:rPr>
  </w:style>
  <w:style w:type="character" w:customStyle="1" w:styleId="294">
    <w:name w:val="标题 Char1"/>
    <w:autoRedefine/>
    <w:qFormat/>
    <w:uiPriority w:val="0"/>
    <w:rPr>
      <w:rFonts w:ascii="Arial" w:hAnsi="Arial"/>
      <w:b/>
      <w:kern w:val="2"/>
      <w:sz w:val="36"/>
      <w:szCs w:val="24"/>
    </w:rPr>
  </w:style>
  <w:style w:type="character" w:customStyle="1" w:styleId="295">
    <w:name w:val="正文文本 字符"/>
    <w:autoRedefine/>
    <w:qFormat/>
    <w:uiPriority w:val="0"/>
    <w:rPr>
      <w:rFonts w:eastAsia="宋体"/>
      <w:kern w:val="2"/>
      <w:sz w:val="21"/>
      <w:szCs w:val="24"/>
      <w:lang w:bidi="ar-SA"/>
    </w:rPr>
  </w:style>
  <w:style w:type="character" w:customStyle="1" w:styleId="296">
    <w:name w:val="正文文本缩进 Char"/>
    <w:autoRedefine/>
    <w:qFormat/>
    <w:uiPriority w:val="0"/>
    <w:rPr>
      <w:kern w:val="2"/>
      <w:sz w:val="24"/>
    </w:rPr>
  </w:style>
  <w:style w:type="character" w:customStyle="1" w:styleId="297">
    <w:name w:val="题注 字符"/>
    <w:link w:val="15"/>
    <w:autoRedefine/>
    <w:qFormat/>
    <w:uiPriority w:val="0"/>
    <w:rPr>
      <w:rFonts w:ascii="Cambria" w:hAnsi="Cambria" w:eastAsia="黑体"/>
      <w:kern w:val="2"/>
      <w:sz w:val="21"/>
      <w:szCs w:val="24"/>
    </w:rPr>
  </w:style>
  <w:style w:type="character" w:customStyle="1" w:styleId="298">
    <w:name w:val="bt Char1"/>
    <w:autoRedefine/>
    <w:qFormat/>
    <w:uiPriority w:val="0"/>
    <w:rPr>
      <w:rFonts w:ascii="Times New Roman" w:hAnsi="Times New Roman"/>
      <w:kern w:val="2"/>
      <w:sz w:val="24"/>
      <w:szCs w:val="24"/>
    </w:rPr>
  </w:style>
  <w:style w:type="character" w:customStyle="1" w:styleId="299">
    <w:name w:val="Char Char18"/>
    <w:autoRedefine/>
    <w:qFormat/>
    <w:uiPriority w:val="0"/>
    <w:rPr>
      <w:rFonts w:hint="default" w:ascii="Cambria" w:hAnsi="Cambria" w:eastAsia="宋体"/>
      <w:b/>
      <w:bCs/>
      <w:sz w:val="32"/>
      <w:szCs w:val="32"/>
      <w:lang w:bidi="ar-SA"/>
    </w:rPr>
  </w:style>
  <w:style w:type="character" w:customStyle="1" w:styleId="300">
    <w:name w:val="四级 Char"/>
    <w:link w:val="301"/>
    <w:autoRedefine/>
    <w:qFormat/>
    <w:uiPriority w:val="0"/>
    <w:rPr>
      <w:rFonts w:ascii="仿宋" w:hAnsi="仿宋" w:eastAsia="仿宋"/>
      <w:bCs/>
      <w:kern w:val="2"/>
      <w:sz w:val="32"/>
      <w:szCs w:val="32"/>
    </w:rPr>
  </w:style>
  <w:style w:type="paragraph" w:customStyle="1" w:styleId="301">
    <w:name w:val="四级"/>
    <w:basedOn w:val="5"/>
    <w:link w:val="300"/>
    <w:autoRedefine/>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autoRedefine/>
    <w:qFormat/>
    <w:uiPriority w:val="0"/>
  </w:style>
  <w:style w:type="character" w:customStyle="1" w:styleId="303">
    <w:name w:val="p141"/>
    <w:autoRedefine/>
    <w:qFormat/>
    <w:uiPriority w:val="0"/>
    <w:rPr>
      <w:sz w:val="21"/>
      <w:szCs w:val="21"/>
    </w:rPr>
  </w:style>
  <w:style w:type="character" w:customStyle="1" w:styleId="304">
    <w:name w:val="正文文本缩进 3 Char"/>
    <w:autoRedefine/>
    <w:qFormat/>
    <w:uiPriority w:val="0"/>
    <w:rPr>
      <w:kern w:val="2"/>
      <w:sz w:val="21"/>
    </w:rPr>
  </w:style>
  <w:style w:type="character" w:customStyle="1" w:styleId="305">
    <w:name w:val="Char Char13"/>
    <w:autoRedefine/>
    <w:qFormat/>
    <w:uiPriority w:val="0"/>
    <w:rPr>
      <w:rFonts w:ascii="Cambria" w:hAnsi="Cambria" w:eastAsia="宋体"/>
      <w:sz w:val="24"/>
      <w:szCs w:val="24"/>
      <w:lang w:bidi="ar-SA"/>
    </w:rPr>
  </w:style>
  <w:style w:type="character" w:customStyle="1" w:styleId="306">
    <w:name w:val="正文文本 2 字符"/>
    <w:link w:val="43"/>
    <w:autoRedefine/>
    <w:qFormat/>
    <w:uiPriority w:val="0"/>
    <w:rPr>
      <w:kern w:val="2"/>
      <w:sz w:val="28"/>
    </w:rPr>
  </w:style>
  <w:style w:type="character" w:customStyle="1" w:styleId="307">
    <w:name w:val="Char Char5"/>
    <w:autoRedefine/>
    <w:qFormat/>
    <w:uiPriority w:val="0"/>
    <w:rPr>
      <w:rFonts w:ascii="宋体" w:hAnsi="宋体" w:eastAsia="宋体"/>
      <w:b/>
      <w:bCs/>
      <w:szCs w:val="24"/>
      <w:lang w:bidi="ar-SA"/>
    </w:rPr>
  </w:style>
  <w:style w:type="character" w:customStyle="1" w:styleId="308">
    <w:name w:val="正文文本 2 Char"/>
    <w:autoRedefine/>
    <w:qFormat/>
    <w:uiPriority w:val="0"/>
    <w:rPr>
      <w:kern w:val="2"/>
      <w:sz w:val="28"/>
    </w:rPr>
  </w:style>
  <w:style w:type="character" w:customStyle="1" w:styleId="309">
    <w:name w:val="Char Char6"/>
    <w:autoRedefine/>
    <w:qFormat/>
    <w:uiPriority w:val="0"/>
    <w:rPr>
      <w:rFonts w:ascii="宋体" w:hAnsi="宋体" w:eastAsia="宋体"/>
      <w:szCs w:val="24"/>
      <w:lang w:bidi="ar-SA"/>
    </w:rPr>
  </w:style>
  <w:style w:type="character" w:customStyle="1" w:styleId="310">
    <w:name w:val="Char Char15"/>
    <w:autoRedefine/>
    <w:qFormat/>
    <w:uiPriority w:val="0"/>
    <w:rPr>
      <w:rFonts w:hint="default" w:ascii="Cambria" w:hAnsi="Cambria" w:eastAsia="宋体"/>
      <w:b/>
      <w:bCs/>
      <w:sz w:val="24"/>
      <w:szCs w:val="24"/>
      <w:lang w:bidi="ar-SA"/>
    </w:rPr>
  </w:style>
  <w:style w:type="character" w:customStyle="1" w:styleId="311">
    <w:name w:val="H4 Char"/>
    <w:autoRedefine/>
    <w:qFormat/>
    <w:uiPriority w:val="0"/>
    <w:rPr>
      <w:rFonts w:ascii="Cambria" w:hAnsi="Cambria" w:eastAsia="仿宋_GB2312"/>
      <w:b/>
      <w:bCs/>
      <w:sz w:val="32"/>
      <w:szCs w:val="28"/>
    </w:rPr>
  </w:style>
  <w:style w:type="character" w:customStyle="1" w:styleId="312">
    <w:name w:val="Char Char20"/>
    <w:autoRedefine/>
    <w:qFormat/>
    <w:uiPriority w:val="0"/>
    <w:rPr>
      <w:rFonts w:eastAsia="宋体"/>
      <w:b/>
      <w:kern w:val="2"/>
      <w:sz w:val="28"/>
      <w:lang w:bidi="ar-SA"/>
    </w:rPr>
  </w:style>
  <w:style w:type="character" w:customStyle="1" w:styleId="313">
    <w:name w:val="正文文本缩进 3 字符"/>
    <w:link w:val="40"/>
    <w:autoRedefine/>
    <w:qFormat/>
    <w:uiPriority w:val="0"/>
    <w:rPr>
      <w:kern w:val="2"/>
      <w:sz w:val="21"/>
    </w:rPr>
  </w:style>
  <w:style w:type="character" w:customStyle="1" w:styleId="314">
    <w:name w:val="Char Char16"/>
    <w:autoRedefine/>
    <w:qFormat/>
    <w:uiPriority w:val="0"/>
    <w:rPr>
      <w:rFonts w:hint="eastAsia" w:ascii="仿宋_GB2313" w:hAnsi="仿宋_GB2313" w:eastAsia="仿宋_GB2312"/>
      <w:b/>
      <w:bCs/>
      <w:sz w:val="32"/>
      <w:szCs w:val="28"/>
      <w:lang w:bidi="ar-SA"/>
    </w:rPr>
  </w:style>
  <w:style w:type="character" w:customStyle="1" w:styleId="315">
    <w:name w:val="Char Char7"/>
    <w:autoRedefine/>
    <w:qFormat/>
    <w:uiPriority w:val="0"/>
    <w:rPr>
      <w:rFonts w:ascii="宋体" w:hAnsi="宋体" w:eastAsia="宋体"/>
      <w:sz w:val="24"/>
      <w:szCs w:val="24"/>
      <w:lang w:bidi="ar-SA"/>
    </w:rPr>
  </w:style>
  <w:style w:type="character" w:customStyle="1" w:styleId="316">
    <w:name w:val="日期 字符"/>
    <w:link w:val="28"/>
    <w:autoRedefine/>
    <w:qFormat/>
    <w:uiPriority w:val="0"/>
    <w:rPr>
      <w:rFonts w:ascii="宋体" w:hAnsi="宋体"/>
      <w:kern w:val="2"/>
      <w:sz w:val="24"/>
      <w:szCs w:val="24"/>
    </w:rPr>
  </w:style>
  <w:style w:type="character" w:customStyle="1" w:styleId="317">
    <w:name w:val="Char Char12"/>
    <w:autoRedefine/>
    <w:qFormat/>
    <w:uiPriority w:val="0"/>
    <w:rPr>
      <w:rFonts w:hint="default" w:ascii="Cambria" w:hAnsi="Cambria" w:eastAsia="宋体"/>
      <w:szCs w:val="21"/>
      <w:lang w:bidi="ar-SA"/>
    </w:rPr>
  </w:style>
  <w:style w:type="character" w:customStyle="1" w:styleId="318">
    <w:name w:val="标题 4 Char"/>
    <w:autoRedefine/>
    <w:qFormat/>
    <w:uiPriority w:val="0"/>
    <w:rPr>
      <w:rFonts w:ascii="Arial" w:hAnsi="Arial" w:eastAsia="黑体"/>
      <w:b/>
      <w:kern w:val="2"/>
      <w:sz w:val="24"/>
    </w:rPr>
  </w:style>
  <w:style w:type="character" w:customStyle="1" w:styleId="319">
    <w:name w:val="Char Char2"/>
    <w:autoRedefine/>
    <w:qFormat/>
    <w:uiPriority w:val="0"/>
    <w:rPr>
      <w:rFonts w:ascii="宋体" w:hAnsi="宋体" w:eastAsia="宋体"/>
      <w:kern w:val="2"/>
      <w:sz w:val="24"/>
      <w:szCs w:val="24"/>
      <w:lang w:val="en-US" w:eastAsia="zh-CN" w:bidi="ar-SA"/>
    </w:rPr>
  </w:style>
  <w:style w:type="character" w:customStyle="1" w:styleId="320">
    <w:name w:val="*正文 Char"/>
    <w:link w:val="321"/>
    <w:autoRedefine/>
    <w:qFormat/>
    <w:uiPriority w:val="0"/>
    <w:rPr>
      <w:rFonts w:ascii="宋体" w:hAnsi="宋体"/>
      <w:sz w:val="24"/>
      <w:szCs w:val="24"/>
    </w:rPr>
  </w:style>
  <w:style w:type="paragraph" w:customStyle="1" w:styleId="321">
    <w:name w:val="*正文"/>
    <w:basedOn w:val="1"/>
    <w:link w:val="320"/>
    <w:autoRedefine/>
    <w:qFormat/>
    <w:uiPriority w:val="0"/>
    <w:pPr>
      <w:spacing w:line="360" w:lineRule="auto"/>
      <w:ind w:firstLine="200" w:firstLineChars="200"/>
    </w:pPr>
    <w:rPr>
      <w:rFonts w:ascii="宋体" w:hAnsi="宋体"/>
      <w:kern w:val="0"/>
      <w:sz w:val="24"/>
    </w:rPr>
  </w:style>
  <w:style w:type="character" w:customStyle="1" w:styleId="322">
    <w:name w:val="页脚 字符1"/>
    <w:autoRedefine/>
    <w:qFormat/>
    <w:uiPriority w:val="0"/>
    <w:rPr>
      <w:rFonts w:eastAsia="宋体"/>
      <w:kern w:val="2"/>
      <w:sz w:val="18"/>
      <w:lang w:bidi="ar-SA"/>
    </w:rPr>
  </w:style>
  <w:style w:type="character" w:customStyle="1" w:styleId="323">
    <w:name w:val="GP正文[858D7CFB-ED40-4347-BF05-701D383B685F]"/>
    <w:link w:val="324"/>
    <w:autoRedefine/>
    <w:qFormat/>
    <w:uiPriority w:val="0"/>
    <w:rPr>
      <w:rFonts w:ascii="宋体" w:hAnsi="宋体"/>
      <w:kern w:val="2"/>
      <w:sz w:val="24"/>
      <w:szCs w:val="24"/>
    </w:rPr>
  </w:style>
  <w:style w:type="paragraph" w:customStyle="1" w:styleId="324">
    <w:name w:val="GP正文"/>
    <w:basedOn w:val="1"/>
    <w:link w:val="323"/>
    <w:autoRedefine/>
    <w:qFormat/>
    <w:uiPriority w:val="0"/>
    <w:pPr>
      <w:spacing w:line="360" w:lineRule="auto"/>
      <w:ind w:firstLine="200" w:firstLineChars="200"/>
      <w:jc w:val="left"/>
    </w:pPr>
    <w:rPr>
      <w:rFonts w:ascii="宋体" w:hAnsi="宋体"/>
      <w:sz w:val="24"/>
    </w:rPr>
  </w:style>
  <w:style w:type="character" w:customStyle="1" w:styleId="325">
    <w:name w:val="Char Char14"/>
    <w:autoRedefine/>
    <w:qFormat/>
    <w:uiPriority w:val="0"/>
    <w:rPr>
      <w:rFonts w:ascii="Calibri" w:hAnsi="Calibri" w:eastAsia="宋体"/>
      <w:b/>
      <w:bCs/>
      <w:sz w:val="24"/>
      <w:szCs w:val="24"/>
      <w:lang w:bidi="ar-SA"/>
    </w:rPr>
  </w:style>
  <w:style w:type="character" w:customStyle="1" w:styleId="326">
    <w:name w:val="Char Char19"/>
    <w:autoRedefine/>
    <w:qFormat/>
    <w:uiPriority w:val="0"/>
    <w:rPr>
      <w:rFonts w:ascii="Arial" w:hAnsi="Arial" w:eastAsia="黑体"/>
      <w:b/>
      <w:kern w:val="2"/>
      <w:sz w:val="24"/>
      <w:lang w:bidi="ar-SA"/>
    </w:rPr>
  </w:style>
  <w:style w:type="character" w:customStyle="1" w:styleId="327">
    <w:name w:val="正文文本 Char1"/>
    <w:autoRedefine/>
    <w:qFormat/>
    <w:uiPriority w:val="0"/>
    <w:rPr>
      <w:kern w:val="2"/>
      <w:sz w:val="21"/>
      <w:szCs w:val="24"/>
    </w:rPr>
  </w:style>
  <w:style w:type="character" w:customStyle="1" w:styleId="328">
    <w:name w:val="二级 Char"/>
    <w:link w:val="329"/>
    <w:autoRedefine/>
    <w:qFormat/>
    <w:uiPriority w:val="0"/>
    <w:rPr>
      <w:rFonts w:ascii="仿宋" w:hAnsi="仿宋" w:eastAsia="仿宋"/>
      <w:b/>
      <w:bCs/>
      <w:spacing w:val="24"/>
      <w:kern w:val="2"/>
      <w:sz w:val="32"/>
      <w:szCs w:val="32"/>
    </w:rPr>
  </w:style>
  <w:style w:type="paragraph" w:customStyle="1" w:styleId="329">
    <w:name w:val="二级"/>
    <w:basedOn w:val="4"/>
    <w:link w:val="328"/>
    <w:autoRedefine/>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autoRedefine/>
    <w:qFormat/>
    <w:uiPriority w:val="0"/>
    <w:rPr>
      <w:rFonts w:eastAsia="楷体_GB2312"/>
      <w:kern w:val="2"/>
      <w:sz w:val="21"/>
    </w:rPr>
  </w:style>
  <w:style w:type="character" w:customStyle="1" w:styleId="331">
    <w:name w:val="Char Char"/>
    <w:autoRedefine/>
    <w:qFormat/>
    <w:uiPriority w:val="0"/>
    <w:rPr>
      <w:rFonts w:hint="eastAsia" w:ascii="宋体" w:hAnsi="Courier New" w:eastAsia="宋体"/>
      <w:spacing w:val="-8"/>
      <w:kern w:val="2"/>
      <w:sz w:val="24"/>
      <w:lang w:val="en-US" w:eastAsia="zh-CN" w:bidi="ar-SA"/>
    </w:rPr>
  </w:style>
  <w:style w:type="character" w:customStyle="1" w:styleId="332">
    <w:name w:val="Char Char11"/>
    <w:autoRedefine/>
    <w:qFormat/>
    <w:uiPriority w:val="0"/>
    <w:rPr>
      <w:rFonts w:hint="default" w:ascii="Calibri" w:hAnsi="Calibri" w:eastAsia="宋体"/>
      <w:sz w:val="18"/>
      <w:szCs w:val="18"/>
      <w:lang w:bidi="ar-SA"/>
    </w:rPr>
  </w:style>
  <w:style w:type="character" w:customStyle="1" w:styleId="333">
    <w:name w:val="页眉 字符1"/>
    <w:autoRedefine/>
    <w:qFormat/>
    <w:uiPriority w:val="0"/>
    <w:rPr>
      <w:rFonts w:eastAsia="宋体"/>
      <w:kern w:val="2"/>
      <w:sz w:val="18"/>
      <w:szCs w:val="18"/>
      <w:lang w:bidi="ar-SA"/>
    </w:rPr>
  </w:style>
  <w:style w:type="character" w:customStyle="1" w:styleId="334">
    <w:name w:val="正文首行缩进 Char1"/>
    <w:autoRedefine/>
    <w:qFormat/>
    <w:uiPriority w:val="0"/>
    <w:rPr>
      <w:kern w:val="2"/>
      <w:sz w:val="21"/>
    </w:rPr>
  </w:style>
  <w:style w:type="character" w:customStyle="1" w:styleId="335">
    <w:name w:val="页眉 Char1"/>
    <w:autoRedefine/>
    <w:qFormat/>
    <w:uiPriority w:val="0"/>
    <w:rPr>
      <w:rFonts w:eastAsia="宋体"/>
      <w:kern w:val="2"/>
      <w:sz w:val="18"/>
      <w:szCs w:val="18"/>
      <w:lang w:val="en-US" w:eastAsia="zh-CN" w:bidi="ar-SA"/>
    </w:rPr>
  </w:style>
  <w:style w:type="character" w:customStyle="1" w:styleId="336">
    <w:name w:val="题注 Char"/>
    <w:autoRedefine/>
    <w:qFormat/>
    <w:uiPriority w:val="0"/>
    <w:rPr>
      <w:rFonts w:ascii="Cambria" w:hAnsi="Cambria" w:eastAsia="黑体"/>
      <w:kern w:val="2"/>
      <w:lang w:bidi="ar-SA"/>
    </w:rPr>
  </w:style>
  <w:style w:type="character" w:customStyle="1" w:styleId="337">
    <w:name w:val="样式 标题 3 + 小四 Char"/>
    <w:autoRedefine/>
    <w:qFormat/>
    <w:uiPriority w:val="0"/>
    <w:rPr>
      <w:rFonts w:ascii="宋体" w:hAnsi="宋体" w:cs="Arial"/>
      <w:b/>
      <w:bCs/>
      <w:smallCaps/>
      <w:sz w:val="24"/>
      <w:lang w:val="en-US" w:eastAsia="zh-CN"/>
    </w:rPr>
  </w:style>
  <w:style w:type="character" w:customStyle="1" w:styleId="338">
    <w:name w:val="unnamed21"/>
    <w:autoRedefine/>
    <w:qFormat/>
    <w:uiPriority w:val="0"/>
    <w:rPr>
      <w:color w:val="CC6633"/>
      <w:u w:val="none"/>
    </w:rPr>
  </w:style>
  <w:style w:type="character" w:customStyle="1" w:styleId="339">
    <w:name w:val="16"/>
    <w:autoRedefine/>
    <w:qFormat/>
    <w:uiPriority w:val="0"/>
    <w:rPr>
      <w:rFonts w:hint="eastAsia" w:ascii="宋体" w:hAnsi="宋体" w:eastAsia="宋体" w:cs="Arial"/>
      <w:b/>
      <w:bCs/>
      <w:smallCaps/>
      <w:kern w:val="2"/>
      <w:sz w:val="24"/>
      <w:szCs w:val="24"/>
    </w:rPr>
  </w:style>
  <w:style w:type="character" w:customStyle="1" w:styleId="340">
    <w:name w:val="正文文本缩进 字符"/>
    <w:autoRedefine/>
    <w:qFormat/>
    <w:uiPriority w:val="0"/>
    <w:rPr>
      <w:rFonts w:eastAsia="宋体"/>
      <w:kern w:val="2"/>
      <w:sz w:val="24"/>
      <w:lang w:bidi="ar-SA"/>
    </w:rPr>
  </w:style>
  <w:style w:type="character" w:customStyle="1" w:styleId="341">
    <w:name w:val="Char Char8"/>
    <w:autoRedefine/>
    <w:qFormat/>
    <w:uiPriority w:val="0"/>
    <w:rPr>
      <w:rFonts w:hint="default" w:ascii="Calibri" w:hAnsi="Calibri" w:eastAsia="宋体"/>
      <w:kern w:val="2"/>
      <w:sz w:val="21"/>
      <w:szCs w:val="22"/>
      <w:lang w:val="en-US" w:eastAsia="zh-CN" w:bidi="ar-SA"/>
    </w:rPr>
  </w:style>
  <w:style w:type="character" w:customStyle="1" w:styleId="342">
    <w:name w:val="H3 Char1"/>
    <w:autoRedefine/>
    <w:qFormat/>
    <w:uiPriority w:val="0"/>
    <w:rPr>
      <w:rFonts w:ascii="仿宋_GB2312" w:eastAsia="仿宋_GB2312"/>
      <w:b/>
      <w:bCs/>
      <w:color w:val="000000"/>
      <w:kern w:val="2"/>
      <w:sz w:val="32"/>
      <w:szCs w:val="32"/>
    </w:rPr>
  </w:style>
  <w:style w:type="character" w:customStyle="1" w:styleId="343">
    <w:name w:val="Char Char1"/>
    <w:autoRedefine/>
    <w:qFormat/>
    <w:uiPriority w:val="0"/>
    <w:rPr>
      <w:rFonts w:hint="eastAsia" w:ascii="宋体" w:hAnsi="宋体" w:eastAsia="宋体"/>
      <w:kern w:val="2"/>
      <w:sz w:val="21"/>
      <w:szCs w:val="24"/>
      <w:lang w:val="en-US" w:eastAsia="zh-CN" w:bidi="ar-SA"/>
    </w:rPr>
  </w:style>
  <w:style w:type="character" w:customStyle="1" w:styleId="344">
    <w:name w:val="Char Char10"/>
    <w:autoRedefine/>
    <w:qFormat/>
    <w:uiPriority w:val="0"/>
    <w:rPr>
      <w:rFonts w:eastAsia="宋体"/>
      <w:kern w:val="2"/>
      <w:sz w:val="18"/>
      <w:szCs w:val="18"/>
      <w:lang w:val="en-US" w:eastAsia="zh-CN" w:bidi="ar-SA"/>
    </w:rPr>
  </w:style>
  <w:style w:type="character" w:customStyle="1" w:styleId="345">
    <w:name w:val="文档正文 Char"/>
    <w:link w:val="346"/>
    <w:autoRedefine/>
    <w:qFormat/>
    <w:uiPriority w:val="0"/>
    <w:rPr>
      <w:rFonts w:ascii="Arial" w:hAnsi="Arial" w:cs="Arial"/>
      <w:bCs/>
      <w:kern w:val="2"/>
      <w:sz w:val="24"/>
      <w:szCs w:val="24"/>
    </w:rPr>
  </w:style>
  <w:style w:type="paragraph" w:customStyle="1" w:styleId="346">
    <w:name w:val="文档正文"/>
    <w:basedOn w:val="1"/>
    <w:link w:val="345"/>
    <w:autoRedefine/>
    <w:qFormat/>
    <w:uiPriority w:val="0"/>
    <w:rPr>
      <w:rFonts w:ascii="Arial" w:hAnsi="Arial" w:cs="Arial"/>
      <w:bCs/>
      <w:sz w:val="24"/>
    </w:rPr>
  </w:style>
  <w:style w:type="character" w:customStyle="1" w:styleId="347">
    <w:name w:val="正文文本 2 Char2"/>
    <w:basedOn w:val="52"/>
    <w:autoRedefine/>
    <w:semiHidden/>
    <w:qFormat/>
    <w:uiPriority w:val="0"/>
    <w:rPr>
      <w:kern w:val="2"/>
      <w:sz w:val="21"/>
      <w:szCs w:val="24"/>
    </w:rPr>
  </w:style>
  <w:style w:type="character" w:customStyle="1" w:styleId="348">
    <w:name w:val="标题 字符1"/>
    <w:basedOn w:val="52"/>
    <w:autoRedefine/>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autoRedefine/>
    <w:qFormat/>
    <w:uiPriority w:val="0"/>
    <w:rPr>
      <w:kern w:val="2"/>
      <w:sz w:val="21"/>
      <w:szCs w:val="24"/>
    </w:rPr>
  </w:style>
  <w:style w:type="character" w:customStyle="1" w:styleId="350">
    <w:name w:val="签名 Char2"/>
    <w:basedOn w:val="52"/>
    <w:autoRedefine/>
    <w:semiHidden/>
    <w:qFormat/>
    <w:uiPriority w:val="0"/>
    <w:rPr>
      <w:kern w:val="2"/>
      <w:sz w:val="21"/>
      <w:szCs w:val="24"/>
    </w:rPr>
  </w:style>
  <w:style w:type="character" w:customStyle="1" w:styleId="351">
    <w:name w:val="正文文本缩进 3 Char2"/>
    <w:basedOn w:val="52"/>
    <w:autoRedefine/>
    <w:semiHidden/>
    <w:qFormat/>
    <w:uiPriority w:val="0"/>
    <w:rPr>
      <w:kern w:val="2"/>
      <w:sz w:val="16"/>
      <w:szCs w:val="16"/>
    </w:rPr>
  </w:style>
  <w:style w:type="character" w:customStyle="1" w:styleId="352">
    <w:name w:val="日期 Char2"/>
    <w:basedOn w:val="52"/>
    <w:autoRedefine/>
    <w:semiHidden/>
    <w:qFormat/>
    <w:uiPriority w:val="0"/>
    <w:rPr>
      <w:kern w:val="2"/>
      <w:sz w:val="21"/>
      <w:szCs w:val="24"/>
    </w:rPr>
  </w:style>
  <w:style w:type="paragraph" w:customStyle="1" w:styleId="353">
    <w:name w:val="Default Paragraph Font Para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autoRedefine/>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autoRedefine/>
    <w:qFormat/>
    <w:uiPriority w:val="0"/>
    <w:pPr>
      <w:widowControl/>
      <w:jc w:val="center"/>
    </w:pPr>
    <w:rPr>
      <w:rFonts w:ascii="Arial" w:hAnsi="Arial"/>
      <w:b/>
      <w:kern w:val="0"/>
      <w:sz w:val="18"/>
      <w:szCs w:val="20"/>
    </w:rPr>
  </w:style>
  <w:style w:type="paragraph" w:customStyle="1" w:styleId="359">
    <w:name w:val="4"/>
    <w:basedOn w:val="1"/>
    <w:next w:val="1"/>
    <w:autoRedefine/>
    <w:qFormat/>
    <w:uiPriority w:val="0"/>
  </w:style>
  <w:style w:type="paragraph" w:customStyle="1" w:styleId="360">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autoRedefine/>
    <w:qFormat/>
    <w:uiPriority w:val="0"/>
    <w:pPr>
      <w:spacing w:line="360" w:lineRule="auto"/>
      <w:ind w:firstLine="200" w:firstLineChars="200"/>
    </w:pPr>
    <w:rPr>
      <w:szCs w:val="20"/>
    </w:rPr>
  </w:style>
  <w:style w:type="paragraph" w:customStyle="1" w:styleId="362">
    <w:name w:val="样式 标题 5H5dashdsddh5PIM 5口一heading 5Titre5Table label...3"/>
    <w:basedOn w:val="6"/>
    <w:autoRedefine/>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autoRedefine/>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autoRedefine/>
    <w:qFormat/>
    <w:uiPriority w:val="0"/>
    <w:pPr>
      <w:tabs>
        <w:tab w:val="right" w:leader="dot" w:pos="9458"/>
      </w:tabs>
    </w:pPr>
    <w:rPr>
      <w:rFonts w:ascii="Arial" w:cs="Arial"/>
      <w:i/>
    </w:rPr>
  </w:style>
  <w:style w:type="paragraph" w:customStyle="1" w:styleId="365">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autoRedefine/>
    <w:qFormat/>
    <w:uiPriority w:val="0"/>
    <w:pPr>
      <w:keepLines/>
      <w:widowControl/>
      <w:spacing w:beforeLines="50" w:afterLines="50" w:line="300" w:lineRule="auto"/>
    </w:pPr>
    <w:rPr>
      <w:rFonts w:ascii="Arial" w:hAnsi="Arial"/>
      <w:bCs/>
    </w:rPr>
  </w:style>
  <w:style w:type="paragraph" w:customStyle="1" w:styleId="367">
    <w:name w:val="样式5"/>
    <w:basedOn w:val="368"/>
    <w:next w:val="368"/>
    <w:autoRedefine/>
    <w:qFormat/>
    <w:uiPriority w:val="0"/>
    <w:pPr>
      <w:tabs>
        <w:tab w:val="right" w:leader="dot" w:pos="9458"/>
      </w:tabs>
    </w:pPr>
  </w:style>
  <w:style w:type="paragraph" w:customStyle="1" w:styleId="368">
    <w:name w:val="样式4"/>
    <w:basedOn w:val="34"/>
    <w:autoRedefine/>
    <w:qFormat/>
    <w:uiPriority w:val="0"/>
    <w:pPr>
      <w:tabs>
        <w:tab w:val="right" w:leader="dot" w:pos="9458"/>
      </w:tabs>
    </w:pPr>
    <w:rPr>
      <w:b w:val="0"/>
    </w:rPr>
  </w:style>
  <w:style w:type="paragraph" w:customStyle="1" w:styleId="369">
    <w:name w:val="TOC 标题1"/>
    <w:basedOn w:val="2"/>
    <w:next w:val="1"/>
    <w:autoRedefine/>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autoRedefine/>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autoRedefine/>
    <w:qFormat/>
    <w:uiPriority w:val="0"/>
    <w:pPr>
      <w:widowControl/>
      <w:jc w:val="center"/>
    </w:pPr>
    <w:rPr>
      <w:rFonts w:ascii="Arial" w:hAnsi="Arial"/>
      <w:snapToGrid w:val="0"/>
      <w:kern w:val="0"/>
      <w:sz w:val="18"/>
      <w:szCs w:val="20"/>
    </w:rPr>
  </w:style>
  <w:style w:type="paragraph" w:customStyle="1" w:styleId="374">
    <w:name w:val="xl44"/>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autoRedefine/>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autoRedefine/>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autoRedefine/>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autoRedefine/>
    <w:qFormat/>
    <w:uiPriority w:val="0"/>
    <w:pPr>
      <w:ind w:firstLine="567"/>
    </w:pPr>
    <w:rPr>
      <w:spacing w:val="20"/>
      <w:sz w:val="24"/>
      <w:szCs w:val="20"/>
    </w:rPr>
  </w:style>
  <w:style w:type="paragraph" w:customStyle="1" w:styleId="385">
    <w:name w:val="_正文"/>
    <w:basedOn w:val="1"/>
    <w:autoRedefine/>
    <w:qFormat/>
    <w:uiPriority w:val="99"/>
    <w:pPr>
      <w:spacing w:line="360" w:lineRule="auto"/>
      <w:ind w:firstLine="200" w:firstLineChars="200"/>
    </w:pPr>
    <w:rPr>
      <w:rFonts w:ascii="宋体" w:hAnsi="宋体"/>
      <w:sz w:val="24"/>
    </w:rPr>
  </w:style>
  <w:style w:type="paragraph" w:customStyle="1" w:styleId="386">
    <w:name w:val="xl46"/>
    <w:basedOn w:val="1"/>
    <w:autoRedefine/>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autoRedefine/>
    <w:qFormat/>
    <w:uiPriority w:val="0"/>
    <w:pPr>
      <w:ind w:firstLine="420" w:firstLineChars="200"/>
    </w:pPr>
    <w:rPr>
      <w:rFonts w:ascii="仿宋_GB2312" w:eastAsia="仿宋_GB2312" w:cs="宋体"/>
      <w:spacing w:val="6"/>
      <w:sz w:val="30"/>
      <w:szCs w:val="30"/>
    </w:rPr>
  </w:style>
  <w:style w:type="paragraph" w:customStyle="1" w:styleId="388">
    <w:name w:val="_Style 15"/>
    <w:basedOn w:val="1"/>
    <w:autoRedefine/>
    <w:qFormat/>
    <w:uiPriority w:val="0"/>
  </w:style>
  <w:style w:type="paragraph" w:customStyle="1" w:styleId="389">
    <w:name w:val="msonorma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5"/>
    <w:next w:val="1"/>
    <w:autoRedefine/>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autoRedefine/>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autoRedefine/>
    <w:qFormat/>
    <w:uiPriority w:val="0"/>
    <w:pPr>
      <w:ind w:left="572" w:right="32" w:firstLine="478"/>
    </w:pPr>
    <w:rPr>
      <w:szCs w:val="21"/>
    </w:rPr>
  </w:style>
  <w:style w:type="paragraph" w:customStyle="1" w:styleId="397">
    <w:name w:val="Bullet w/Single Space"/>
    <w:basedOn w:val="1"/>
    <w:autoRedefine/>
    <w:qFormat/>
    <w:uiPriority w:val="0"/>
    <w:pPr>
      <w:widowControl/>
      <w:numPr>
        <w:ilvl w:val="0"/>
        <w:numId w:val="3"/>
      </w:numPr>
      <w:ind w:left="720"/>
      <w:jc w:val="left"/>
    </w:pPr>
    <w:rPr>
      <w:kern w:val="0"/>
      <w:sz w:val="24"/>
      <w:szCs w:val="20"/>
      <w:lang w:eastAsia="en-US"/>
    </w:rPr>
  </w:style>
  <w:style w:type="paragraph" w:customStyle="1" w:styleId="398">
    <w:name w:val="正文样式"/>
    <w:basedOn w:val="1"/>
    <w:autoRedefine/>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autoRedefine/>
    <w:qFormat/>
    <w:uiPriority w:val="0"/>
    <w:pPr>
      <w:spacing w:line="360" w:lineRule="auto"/>
      <w:ind w:hanging="420"/>
      <w:jc w:val="center"/>
    </w:pPr>
    <w:rPr>
      <w:sz w:val="24"/>
      <w:szCs w:val="20"/>
    </w:rPr>
  </w:style>
  <w:style w:type="paragraph" w:customStyle="1" w:styleId="400">
    <w:name w:val="font0"/>
    <w:basedOn w:val="1"/>
    <w:autoRedefine/>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autoRedefine/>
    <w:qFormat/>
    <w:uiPriority w:val="0"/>
  </w:style>
  <w:style w:type="paragraph" w:customStyle="1" w:styleId="402">
    <w:name w:val="z1"/>
    <w:basedOn w:val="1"/>
    <w:autoRedefine/>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autoRedefine/>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autoRedefine/>
    <w:qFormat/>
    <w:uiPriority w:val="0"/>
  </w:style>
  <w:style w:type="paragraph" w:customStyle="1" w:styleId="405">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autoRedefine/>
    <w:qFormat/>
    <w:uiPriority w:val="0"/>
    <w:pPr>
      <w:tabs>
        <w:tab w:val="right" w:leader="dot" w:pos="9458"/>
      </w:tabs>
    </w:pPr>
    <w:rPr>
      <w:i/>
    </w:rPr>
  </w:style>
  <w:style w:type="paragraph" w:customStyle="1" w:styleId="407">
    <w:name w:val="msolistparagraph"/>
    <w:basedOn w:val="1"/>
    <w:autoRedefine/>
    <w:qFormat/>
    <w:uiPriority w:val="0"/>
    <w:pPr>
      <w:ind w:firstLine="420" w:firstLineChars="200"/>
    </w:pPr>
    <w:rPr>
      <w:rFonts w:ascii="Calibri" w:hAnsi="Calibri"/>
      <w:szCs w:val="22"/>
    </w:rPr>
  </w:style>
  <w:style w:type="paragraph" w:customStyle="1" w:styleId="408">
    <w:name w:val="Char Char16 Char Char"/>
    <w:basedOn w:val="1"/>
    <w:autoRedefine/>
    <w:qFormat/>
    <w:uiPriority w:val="0"/>
    <w:rPr>
      <w:rFonts w:ascii="Tahoma" w:hAnsi="Tahoma"/>
      <w:sz w:val="24"/>
      <w:szCs w:val="20"/>
    </w:rPr>
  </w:style>
  <w:style w:type="paragraph" w:customStyle="1" w:styleId="409">
    <w:name w:val="正文内容"/>
    <w:basedOn w:val="1"/>
    <w:autoRedefine/>
    <w:qFormat/>
    <w:uiPriority w:val="0"/>
    <w:rPr>
      <w:rFonts w:ascii="Arial" w:hAnsi="Arial"/>
      <w:spacing w:val="-12"/>
      <w:szCs w:val="20"/>
    </w:rPr>
  </w:style>
  <w:style w:type="paragraph" w:customStyle="1" w:styleId="410">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autoRedefine/>
    <w:qFormat/>
    <w:uiPriority w:val="0"/>
    <w:rPr>
      <w:rFonts w:ascii="Times New Roman" w:hAnsi="Times New Roman" w:eastAsia="宋体" w:cs="Times New Roman"/>
      <w:lang w:val="en-US" w:eastAsia="zh-CN" w:bidi="ar-SA"/>
    </w:rPr>
  </w:style>
  <w:style w:type="paragraph" w:customStyle="1" w:styleId="413">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autoRedefine/>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autoRedefine/>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autoRedefine/>
    <w:qFormat/>
    <w:uiPriority w:val="0"/>
  </w:style>
  <w:style w:type="paragraph" w:customStyle="1" w:styleId="419">
    <w:name w:val="xl3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autoRedefine/>
    <w:qFormat/>
    <w:uiPriority w:val="0"/>
    <w:pPr>
      <w:spacing w:before="120" w:after="120"/>
    </w:pPr>
    <w:rPr>
      <w:rFonts w:ascii="宋体"/>
      <w:b/>
      <w:sz w:val="28"/>
    </w:rPr>
  </w:style>
  <w:style w:type="paragraph" w:customStyle="1" w:styleId="422">
    <w:name w:val="xl49"/>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autoRedefine/>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autoRedefine/>
    <w:qFormat/>
    <w:uiPriority w:val="0"/>
    <w:pPr>
      <w:ind w:left="980" w:hanging="420"/>
    </w:pPr>
    <w:rPr>
      <w:sz w:val="24"/>
    </w:rPr>
  </w:style>
  <w:style w:type="paragraph" w:customStyle="1" w:styleId="426">
    <w:name w:val="xl47"/>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autoRedefine/>
    <w:qFormat/>
    <w:uiPriority w:val="0"/>
    <w:pPr>
      <w:ind w:firstLine="480" w:firstLineChars="200"/>
    </w:pPr>
    <w:rPr>
      <w:rFonts w:cs="宋体"/>
      <w:szCs w:val="20"/>
    </w:rPr>
  </w:style>
  <w:style w:type="paragraph" w:customStyle="1" w:styleId="429">
    <w:name w:val="xl3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autoRedefine/>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autoRedefine/>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autoRedefine/>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autoRedefine/>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表段落 字符1"/>
    <w:link w:val="455"/>
    <w:autoRedefine/>
    <w:qFormat/>
    <w:uiPriority w:val="34"/>
    <w:rPr>
      <w:kern w:val="2"/>
      <w:sz w:val="21"/>
      <w:szCs w:val="24"/>
    </w:rPr>
  </w:style>
  <w:style w:type="paragraph" w:styleId="455">
    <w:name w:val="List Paragraph"/>
    <w:basedOn w:val="1"/>
    <w:link w:val="454"/>
    <w:autoRedefine/>
    <w:qFormat/>
    <w:uiPriority w:val="34"/>
    <w:pPr>
      <w:ind w:firstLine="420" w:firstLineChars="200"/>
    </w:pPr>
  </w:style>
  <w:style w:type="paragraph" w:customStyle="1" w:styleId="456">
    <w:name w:val="yiv1649619028msonorma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autoRedefine/>
    <w:qFormat/>
    <w:uiPriority w:val="0"/>
    <w:pPr>
      <w:spacing w:afterLines="20"/>
      <w:ind w:firstLine="1446" w:firstLineChars="200"/>
    </w:pPr>
    <w:rPr>
      <w:rFonts w:ascii="Calibri" w:hAnsi="Calibri"/>
      <w:sz w:val="24"/>
    </w:rPr>
  </w:style>
  <w:style w:type="character" w:customStyle="1" w:styleId="458">
    <w:name w:val="正文文本 3 字符"/>
    <w:basedOn w:val="52"/>
    <w:link w:val="19"/>
    <w:autoRedefine/>
    <w:qFormat/>
    <w:uiPriority w:val="0"/>
    <w:rPr>
      <w:kern w:val="2"/>
      <w:sz w:val="16"/>
      <w:szCs w:val="16"/>
    </w:rPr>
  </w:style>
  <w:style w:type="character" w:customStyle="1" w:styleId="459">
    <w:name w:val="content"/>
    <w:basedOn w:val="52"/>
    <w:autoRedefine/>
    <w:qFormat/>
    <w:uiPriority w:val="0"/>
  </w:style>
  <w:style w:type="character" w:customStyle="1" w:styleId="460">
    <w:name w:val="ca-3"/>
    <w:basedOn w:val="52"/>
    <w:autoRedefine/>
    <w:qFormat/>
    <w:uiPriority w:val="0"/>
  </w:style>
  <w:style w:type="character" w:customStyle="1" w:styleId="461">
    <w:name w:val="textcontents1"/>
    <w:autoRedefine/>
    <w:qFormat/>
    <w:uiPriority w:val="0"/>
    <w:rPr>
      <w:rFonts w:hint="default" w:ascii="ˎ̥" w:hAnsi="ˎ̥"/>
      <w:sz w:val="21"/>
      <w:szCs w:val="21"/>
    </w:rPr>
  </w:style>
  <w:style w:type="character" w:customStyle="1" w:styleId="462">
    <w:name w:val="脚注文本 Char1"/>
    <w:autoRedefine/>
    <w:qFormat/>
    <w:uiPriority w:val="0"/>
    <w:rPr>
      <w:kern w:val="2"/>
      <w:sz w:val="18"/>
      <w:szCs w:val="18"/>
    </w:rPr>
  </w:style>
  <w:style w:type="character" w:customStyle="1" w:styleId="463">
    <w:name w:val="脚注文本 Char"/>
    <w:autoRedefine/>
    <w:qFormat/>
    <w:uiPriority w:val="0"/>
    <w:rPr>
      <w:kern w:val="2"/>
      <w:sz w:val="18"/>
      <w:szCs w:val="18"/>
    </w:rPr>
  </w:style>
  <w:style w:type="character" w:customStyle="1" w:styleId="464">
    <w:name w:val="正文首行缩进（绿盟科技） Char"/>
    <w:link w:val="465"/>
    <w:autoRedefine/>
    <w:qFormat/>
    <w:uiPriority w:val="0"/>
    <w:rPr>
      <w:rFonts w:ascii="Arial" w:hAnsi="Arial"/>
      <w:szCs w:val="21"/>
    </w:rPr>
  </w:style>
  <w:style w:type="paragraph" w:customStyle="1" w:styleId="465">
    <w:name w:val="正文首行缩进（绿盟科技）"/>
    <w:basedOn w:val="1"/>
    <w:link w:val="464"/>
    <w:autoRedefine/>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autoRedefine/>
    <w:qFormat/>
    <w:uiPriority w:val="0"/>
  </w:style>
  <w:style w:type="character" w:customStyle="1" w:styleId="467">
    <w:name w:val="Char Char21"/>
    <w:autoRedefine/>
    <w:qFormat/>
    <w:uiPriority w:val="0"/>
    <w:rPr>
      <w:b/>
      <w:bCs/>
      <w:kern w:val="2"/>
      <w:sz w:val="32"/>
      <w:szCs w:val="32"/>
    </w:rPr>
  </w:style>
  <w:style w:type="character" w:customStyle="1" w:styleId="468">
    <w:name w:val="content1"/>
    <w:autoRedefine/>
    <w:qFormat/>
    <w:uiPriority w:val="0"/>
    <w:rPr>
      <w:rFonts w:hint="default" w:ascii="??" w:hAnsi="??"/>
      <w:sz w:val="16"/>
      <w:szCs w:val="16"/>
      <w:u w:val="none"/>
    </w:rPr>
  </w:style>
  <w:style w:type="character" w:customStyle="1" w:styleId="469">
    <w:name w:val="text21"/>
    <w:basedOn w:val="52"/>
    <w:autoRedefine/>
    <w:qFormat/>
    <w:uiPriority w:val="0"/>
  </w:style>
  <w:style w:type="character" w:customStyle="1" w:styleId="470">
    <w:name w:val="apple-style-span"/>
    <w:basedOn w:val="52"/>
    <w:autoRedefine/>
    <w:qFormat/>
    <w:uiPriority w:val="0"/>
  </w:style>
  <w:style w:type="paragraph" w:customStyle="1" w:styleId="471">
    <w:name w:val="缺省文本"/>
    <w:basedOn w:val="1"/>
    <w:autoRedefine/>
    <w:qFormat/>
    <w:uiPriority w:val="0"/>
    <w:pPr>
      <w:autoSpaceDE w:val="0"/>
      <w:autoSpaceDN w:val="0"/>
      <w:adjustRightInd w:val="0"/>
      <w:jc w:val="left"/>
    </w:pPr>
    <w:rPr>
      <w:kern w:val="0"/>
      <w:sz w:val="24"/>
    </w:rPr>
  </w:style>
  <w:style w:type="paragraph" w:customStyle="1" w:styleId="472">
    <w:name w:val="xl62"/>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autoRedefine/>
    <w:qFormat/>
    <w:uiPriority w:val="0"/>
    <w:rPr>
      <w:rFonts w:ascii="宋体" w:hAnsi="Courier New"/>
      <w:szCs w:val="20"/>
    </w:rPr>
  </w:style>
  <w:style w:type="paragraph" w:customStyle="1" w:styleId="474">
    <w:name w:val="xl57"/>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autoRedefine/>
    <w:qFormat/>
    <w:uiPriority w:val="0"/>
    <w:pPr>
      <w:widowControl/>
      <w:spacing w:after="160" w:line="240" w:lineRule="exact"/>
      <w:jc w:val="left"/>
    </w:pPr>
  </w:style>
  <w:style w:type="paragraph" w:customStyle="1" w:styleId="476">
    <w:name w:val="USE 1"/>
    <w:basedOn w:val="1"/>
    <w:autoRedefine/>
    <w:qFormat/>
    <w:uiPriority w:val="0"/>
    <w:pPr>
      <w:spacing w:line="200" w:lineRule="atLeast"/>
      <w:jc w:val="left"/>
    </w:pPr>
    <w:rPr>
      <w:rFonts w:ascii="宋体" w:hAnsi="宋体"/>
      <w:b/>
      <w:sz w:val="24"/>
      <w:szCs w:val="28"/>
    </w:rPr>
  </w:style>
  <w:style w:type="paragraph" w:customStyle="1" w:styleId="477">
    <w:name w:val="xl6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autoRedefine/>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autoRedefine/>
    <w:qFormat/>
    <w:uiPriority w:val="0"/>
    <w:rPr>
      <w:rFonts w:ascii="宋体" w:hAnsi="Courier New"/>
      <w:szCs w:val="20"/>
    </w:rPr>
  </w:style>
  <w:style w:type="character" w:customStyle="1" w:styleId="481">
    <w:name w:val="脚注文本 字符"/>
    <w:basedOn w:val="52"/>
    <w:link w:val="38"/>
    <w:autoRedefine/>
    <w:semiHidden/>
    <w:qFormat/>
    <w:uiPriority w:val="0"/>
    <w:rPr>
      <w:kern w:val="2"/>
      <w:sz w:val="18"/>
      <w:szCs w:val="18"/>
    </w:rPr>
  </w:style>
  <w:style w:type="paragraph" w:customStyle="1" w:styleId="482">
    <w:name w:val="_Style 56"/>
    <w:basedOn w:val="1"/>
    <w:next w:val="26"/>
    <w:autoRedefine/>
    <w:qFormat/>
    <w:uiPriority w:val="0"/>
    <w:rPr>
      <w:rFonts w:ascii="宋体" w:hAnsi="Courier New"/>
      <w:szCs w:val="20"/>
    </w:rPr>
  </w:style>
  <w:style w:type="paragraph" w:customStyle="1" w:styleId="483">
    <w:name w:val="Char Char Char Char2"/>
    <w:basedOn w:val="1"/>
    <w:autoRedefine/>
    <w:qFormat/>
    <w:uiPriority w:val="0"/>
    <w:pPr>
      <w:widowControl/>
      <w:spacing w:after="160" w:line="240" w:lineRule="exact"/>
      <w:jc w:val="center"/>
    </w:pPr>
  </w:style>
  <w:style w:type="paragraph" w:customStyle="1" w:styleId="484">
    <w:name w:val="font10"/>
    <w:basedOn w:val="1"/>
    <w:autoRedefine/>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autoRedefine/>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autoRedefine/>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autoRedefine/>
    <w:qFormat/>
    <w:uiPriority w:val="0"/>
    <w:pPr>
      <w:widowControl/>
      <w:spacing w:after="160" w:line="240" w:lineRule="exact"/>
      <w:jc w:val="left"/>
    </w:pPr>
  </w:style>
  <w:style w:type="paragraph" w:customStyle="1" w:styleId="490">
    <w:name w:val="_Style 50"/>
    <w:basedOn w:val="1"/>
    <w:next w:val="29"/>
    <w:autoRedefine/>
    <w:qFormat/>
    <w:uiPriority w:val="0"/>
    <w:pPr>
      <w:adjustRightInd w:val="0"/>
      <w:snapToGrid w:val="0"/>
      <w:spacing w:line="300" w:lineRule="auto"/>
      <w:ind w:firstLine="630" w:firstLineChars="300"/>
    </w:pPr>
    <w:rPr>
      <w:snapToGrid w:val="0"/>
      <w:kern w:val="0"/>
    </w:rPr>
  </w:style>
  <w:style w:type="paragraph" w:customStyle="1" w:styleId="491">
    <w:name w:val="修订2"/>
    <w:autoRedefine/>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autoRedefine/>
    <w:qFormat/>
    <w:uiPriority w:val="0"/>
    <w:rPr>
      <w:rFonts w:ascii="宋体" w:hAnsi="Courier New"/>
      <w:szCs w:val="20"/>
    </w:rPr>
  </w:style>
  <w:style w:type="paragraph" w:customStyle="1" w:styleId="495">
    <w:name w:val="Char Char Char"/>
    <w:basedOn w:val="1"/>
    <w:autoRedefine/>
    <w:qFormat/>
    <w:uiPriority w:val="0"/>
    <w:rPr>
      <w:szCs w:val="20"/>
    </w:rPr>
  </w:style>
  <w:style w:type="paragraph" w:customStyle="1" w:styleId="496">
    <w:name w:val="Char2"/>
    <w:basedOn w:val="1"/>
    <w:autoRedefine/>
    <w:qFormat/>
    <w:uiPriority w:val="0"/>
    <w:rPr>
      <w:rFonts w:ascii="Tahoma" w:hAnsi="Tahoma"/>
      <w:sz w:val="24"/>
      <w:szCs w:val="20"/>
    </w:rPr>
  </w:style>
  <w:style w:type="paragraph" w:customStyle="1" w:styleId="497">
    <w:name w:val="xl5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autoRedefine/>
    <w:qFormat/>
    <w:uiPriority w:val="0"/>
    <w:rPr>
      <w:rFonts w:ascii="宋体" w:hAnsi="Courier New"/>
      <w:szCs w:val="20"/>
    </w:rPr>
  </w:style>
  <w:style w:type="paragraph" w:customStyle="1" w:styleId="501">
    <w:name w:val="2"/>
    <w:basedOn w:val="1"/>
    <w:next w:val="45"/>
    <w:autoRedefine/>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autoRedefine/>
    <w:qFormat/>
    <w:uiPriority w:val="0"/>
    <w:pPr>
      <w:adjustRightInd w:val="0"/>
      <w:snapToGrid w:val="0"/>
      <w:spacing w:line="300" w:lineRule="auto"/>
      <w:ind w:firstLine="630" w:firstLineChars="300"/>
    </w:pPr>
    <w:rPr>
      <w:snapToGrid w:val="0"/>
      <w:kern w:val="0"/>
    </w:rPr>
  </w:style>
  <w:style w:type="paragraph" w:customStyle="1" w:styleId="503">
    <w:name w:val="xl5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2"/>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rPr>
  </w:style>
  <w:style w:type="character" w:customStyle="1" w:styleId="505">
    <w:name w:val="Ｒ07-正!!文 Char Char"/>
    <w:link w:val="506"/>
    <w:autoRedefine/>
    <w:qFormat/>
    <w:uiPriority w:val="0"/>
    <w:rPr>
      <w:rFonts w:ascii="宋体" w:hAnsi="宋体" w:cs="宋体"/>
      <w:snapToGrid w:val="0"/>
      <w:spacing w:val="4"/>
      <w:kern w:val="2"/>
      <w:sz w:val="24"/>
      <w:szCs w:val="24"/>
    </w:rPr>
  </w:style>
  <w:style w:type="paragraph" w:customStyle="1" w:styleId="506">
    <w:name w:val="Ｒ07-正!!文"/>
    <w:link w:val="505"/>
    <w:autoRedefine/>
    <w:qFormat/>
    <w:uiPriority w:val="0"/>
    <w:pPr>
      <w:wordWrap w:val="0"/>
      <w:spacing w:afterLines="20" w:line="312" w:lineRule="auto"/>
      <w:ind w:firstLine="496" w:firstLineChars="200"/>
    </w:pPr>
    <w:rPr>
      <w:rFonts w:ascii="宋体" w:hAnsi="宋体" w:eastAsia="宋体" w:cs="宋体"/>
      <w:snapToGrid w:val="0"/>
      <w:spacing w:val="4"/>
      <w:kern w:val="2"/>
      <w:sz w:val="24"/>
      <w:szCs w:val="24"/>
      <w:lang w:val="en-US" w:eastAsia="zh-CN" w:bidi="ar-SA"/>
    </w:rPr>
  </w:style>
  <w:style w:type="character" w:customStyle="1" w:styleId="507">
    <w:name w:val="Ｒ07-!正! Char Char"/>
    <w:link w:val="508"/>
    <w:autoRedefine/>
    <w:qFormat/>
    <w:uiPriority w:val="0"/>
    <w:rPr>
      <w:rFonts w:ascii="宋体" w:hAnsi="宋体" w:cs="宋体"/>
      <w:snapToGrid w:val="0"/>
      <w:spacing w:val="8"/>
      <w:kern w:val="2"/>
      <w:sz w:val="24"/>
      <w:szCs w:val="24"/>
    </w:rPr>
  </w:style>
  <w:style w:type="paragraph" w:customStyle="1" w:styleId="508">
    <w:name w:val="Ｒ07-!正!"/>
    <w:link w:val="507"/>
    <w:autoRedefine/>
    <w:qFormat/>
    <w:uiPriority w:val="0"/>
    <w:pPr>
      <w:wordWrap w:val="0"/>
      <w:spacing w:afterLines="20" w:line="360" w:lineRule="auto"/>
      <w:ind w:firstLine="512" w:firstLineChars="200"/>
    </w:pPr>
    <w:rPr>
      <w:rFonts w:ascii="宋体" w:hAnsi="宋体" w:eastAsia="宋体" w:cs="宋体"/>
      <w:snapToGrid w:val="0"/>
      <w:spacing w:val="8"/>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51"/>
    <customShpInfo spid="_x0000_s1052"/>
    <customShpInfo spid="_x0000_s1050"/>
    <customShpInfo spid="_x0000_s1048"/>
    <customShpInfo spid="_x0000_s1047"/>
    <customShpInfo spid="_x0000_s1045"/>
    <customShpInfo spid="_x0000_s104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89BCC2-52E6-4BF5-A498-3ABED31EFC5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75</Pages>
  <Words>8407</Words>
  <Characters>47922</Characters>
  <Lines>399</Lines>
  <Paragraphs>112</Paragraphs>
  <TotalTime>15</TotalTime>
  <ScaleCrop>false</ScaleCrop>
  <LinksUpToDate>false</LinksUpToDate>
  <CharactersWithSpaces>56217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2019-11-08T01:16:00Z</dcterms:created>
  <dc:creator>微软用户</dc:creator>
  <cp:lastModifiedBy>中正-李森创</cp:lastModifiedBy>
  <cp:lastPrinted>2020-05-26T01:03:00Z</cp:lastPrinted>
  <dcterms:modified xsi:type="dcterms:W3CDTF">2024-02-28T02:18:44Z</dcterms:modified>
  <dc:title>招标编号：UHO2010-G0029</dc:title>
  <cp:revision>712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E7EFCA99BA2A42C1A83BB3F37221F387</vt:lpwstr>
  </property>
</Properties>
</file>